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07356_8k.htm"/>
      <w:bookmarkStart w:id="1" w:name="kseh260807356_8k"/>
      <w:bookmarkEnd w:id="0"/>
      <w:bookmarkEnd w:id="1"/>
      <w:r>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br/>
        <w:t>SECURITIES AND EXCHANGE COMMISSION</w:t>
        <w:b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1_edei--DocumentType_c20260716__20"/>
      <w:bookmarkEnd w:id="2"/>
      <w:r>
        <w:rPr>
          <w:rFonts w:ascii="Times New Roman;Times;Serif" w:hAnsi="Times New Roman;Times;Serif"/>
          <w:b/>
          <w:i w:val="false"/>
          <w:caps w:val="false"/>
          <w:smallCaps w:val="false"/>
          <w:sz w:val="24"/>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July 16, 2026</w:t>
      </w:r>
    </w:p>
    <w:p>
      <w:pPr>
        <w:pStyle w:val="TextBody"/>
        <w:bidi w:val="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MOVADO GROUP, INC.</w:t>
            </w:r>
          </w:p>
        </w:tc>
      </w:tr>
      <w:tr>
        <w:trPr/>
        <w:tc>
          <w:tcPr>
            <w:tcW w:w="4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jc w:val="left"/>
        <w:rPr>
          <w:caps w:val="false"/>
          <w:smallCaps w:val="false"/>
        </w:rPr>
      </w:pPr>
      <w:r>
        <w:rPr>
          <w:caps w:val="false"/>
          <w:smallCaps w:val="false"/>
        </w:rPr>
        <w:t> </w:t>
      </w:r>
    </w:p>
    <w:tbl>
      <w:tblPr>
        <w:tblW w:w="4800" w:type="dxa"/>
        <w:jc w:val="left"/>
        <w:tblInd w:w="0" w:type="dxa"/>
        <w:tblLayout w:type="fixed"/>
        <w:tblCellMar>
          <w:top w:w="0" w:type="dxa"/>
          <w:left w:w="0" w:type="dxa"/>
          <w:bottom w:w="28" w:type="dxa"/>
          <w:right w:w="0" w:type="dxa"/>
        </w:tblCellMar>
      </w:tblPr>
      <w:tblGrid>
        <w:gridCol w:w="2165"/>
        <w:gridCol w:w="110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New York</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716"/>
            <w:bookmarkEnd w:id="6"/>
            <w:r>
              <w:rPr>
                <w:rFonts w:ascii="Times New Roman;Times;Serif" w:hAnsi="Times New Roman;Times;Serif"/>
                <w:b/>
                <w:i w:val="false"/>
                <w:caps w:val="false"/>
                <w:smallCaps w:val="false"/>
                <w:sz w:val="20"/>
              </w:rPr>
              <w:t>1-16497</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shd w:fill="FEFEFE" w:val="clear"/>
              </w:rPr>
            </w:pPr>
            <w:bookmarkStart w:id="7" w:name="xdx_90E_edei--EntityTaxIdentificationNum"/>
            <w:bookmarkEnd w:id="7"/>
            <w:r>
              <w:rPr>
                <w:rFonts w:ascii="Times New Roman;Times;Serif" w:hAnsi="Times New Roman;Times;Serif"/>
                <w:b/>
                <w:i w:val="false"/>
                <w:caps w:val="false"/>
                <w:smallCaps w:val="false"/>
                <w:sz w:val="20"/>
                <w:shd w:fill="FEFEFE" w:val="clear"/>
              </w:rPr>
              <w:t>13-2595932</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jc w:val="left"/>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5240"/>
      </w:tblGrid>
      <w:tr>
        <w:trPr/>
        <w:tc>
          <w:tcPr>
            <w:tcW w:w="5240" w:type="dxa"/>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650 FROM ROAD, </w:t>
            </w:r>
            <w:bookmarkStart w:id="9" w:name="xdx_90B_edei--EntityAddressAddressLine2_"/>
            <w:bookmarkEnd w:id="9"/>
            <w:r>
              <w:rPr>
                <w:rFonts w:ascii="Times New Roman;Times;Serif" w:hAnsi="Times New Roman;Times;Serif"/>
                <w:b/>
                <w:i w:val="false"/>
                <w:caps w:val="false"/>
                <w:smallCaps w:val="false"/>
                <w:sz w:val="20"/>
              </w:rPr>
              <w:t>SUITE 375</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PARAMUS, </w:t>
            </w:r>
            <w:bookmarkStart w:id="11" w:name="xdx_906_edei--EntityAddressStateOrProvin"/>
            <w:bookmarkEnd w:id="11"/>
            <w:r>
              <w:rPr>
                <w:rFonts w:ascii="Times New Roman;Times;Serif" w:hAnsi="Times New Roman;Times;Serif"/>
                <w:b/>
                <w:i w:val="false"/>
                <w:caps w:val="false"/>
                <w:smallCaps w:val="false"/>
                <w:sz w:val="20"/>
              </w:rPr>
              <w:t>NJ </w:t>
            </w:r>
            <w:bookmarkStart w:id="12" w:name="xdx_901_edei--EntityAddressPostalZipCode"/>
            <w:bookmarkEnd w:id="12"/>
            <w:r>
              <w:rPr>
                <w:rFonts w:ascii="Times New Roman;Times;Serif" w:hAnsi="Times New Roman;Times;Serif"/>
                <w:b/>
                <w:i w:val="false"/>
                <w:caps w:val="false"/>
                <w:smallCaps w:val="false"/>
                <w:sz w:val="20"/>
                <w:shd w:fill="FEFEFE" w:val="clear"/>
              </w:rPr>
              <w:t>07652-3556</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tc>
      </w:tr>
      <w:tr>
        <w:trPr/>
        <w:tc>
          <w:tcPr>
            <w:tcW w:w="5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w:t>
            </w:r>
            <w:bookmarkStart w:id="13" w:name="xdx_90E_edei--CityAreaCode_c20260716__20"/>
            <w:bookmarkEnd w:id="13"/>
            <w:r>
              <w:rPr>
                <w:rFonts w:ascii="Times New Roman;Times;Serif" w:hAnsi="Times New Roman;Times;Serif"/>
                <w:b/>
                <w:i w:val="false"/>
                <w:caps w:val="false"/>
                <w:smallCaps w:val="false"/>
                <w:sz w:val="20"/>
                <w:shd w:fill="FEFEFE" w:val="clear"/>
              </w:rPr>
              <w:t xml:space="preserve">201) </w:t>
            </w:r>
            <w:bookmarkStart w:id="14" w:name="xdx_903_edei--LocalPhoneNumber_c20260716"/>
            <w:bookmarkEnd w:id="14"/>
            <w:r>
              <w:rPr>
                <w:rFonts w:ascii="Times New Roman;Times;Serif" w:hAnsi="Times New Roman;Times;Serif"/>
                <w:b/>
                <w:i w:val="false"/>
                <w:caps w:val="false"/>
                <w:smallCaps w:val="false"/>
                <w:sz w:val="20"/>
                <w:shd w:fill="FEFEFE" w:val="clear"/>
              </w:rPr>
              <w:t>267-8000</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r>
      <w:tr>
        <w:trPr/>
        <w:tc>
          <w:tcPr>
            <w:tcW w:w="5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NOT APPLICABLE</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bookmarkStart w:id="16" w:name="xdx_905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A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7320" w:type="dxa"/>
        <w:jc w:val="left"/>
        <w:tblInd w:w="0" w:type="dxa"/>
        <w:tblLayout w:type="fixed"/>
        <w:tblCellMar>
          <w:top w:w="0" w:type="dxa"/>
          <w:left w:w="0" w:type="dxa"/>
          <w:bottom w:w="28" w:type="dxa"/>
          <w:right w:w="0" w:type="dxa"/>
        </w:tblCellMar>
      </w:tblPr>
      <w:tblGrid>
        <w:gridCol w:w="3380"/>
        <w:gridCol w:w="60"/>
        <w:gridCol w:w="1610"/>
        <w:gridCol w:w="60"/>
        <w:gridCol w:w="2210"/>
      </w:tblGrid>
      <w:tr>
        <w:trPr/>
        <w:tc>
          <w:tcPr>
            <w:tcW w:w="33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60716"/>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716__2"/>
            <w:bookmarkEnd w:id="20"/>
            <w:r>
              <w:rPr>
                <w:rFonts w:ascii="Times New Roman;Times;Serif" w:hAnsi="Times New Roman;Times;Serif"/>
                <w:b w:val="false"/>
                <w:i w:val="false"/>
                <w:caps w:val="false"/>
                <w:smallCaps w:val="false"/>
                <w:sz w:val="20"/>
              </w:rPr>
              <w:t>MOV</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6"/>
            <w:bookmarkEnd w:id="21"/>
            <w:r>
              <w:rPr>
                <w:rFonts w:ascii="Times New Roman;Times;Serif" w:hAnsi="Times New Roman;Times;Serif"/>
                <w:b w:val="false"/>
                <w:i w:val="false"/>
                <w:caps w:val="false"/>
                <w:smallCaps w:val="false"/>
                <w:sz w:val="20"/>
              </w:rPr>
              <w:t>New York Stock Exchange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593" w:type="dxa"/>
        <w:jc w:val="left"/>
        <w:tblInd w:w="0" w:type="dxa"/>
        <w:tblLayout w:type="fixed"/>
        <w:tblCellMar>
          <w:top w:w="0" w:type="dxa"/>
          <w:left w:w="0" w:type="dxa"/>
          <w:bottom w:w="0" w:type="dxa"/>
          <w:right w:w="0" w:type="dxa"/>
        </w:tblCellMar>
      </w:tblPr>
      <w:tblGrid>
        <w:gridCol w:w="38"/>
        <w:gridCol w:w="815"/>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Movado Group, Inc. (the “Company”), together with Movado Group Delaware Holdings Corporation, Movado Retail Group, Inc. and Movado LLC (together with the Company, the “U.S. Borrowers”), each a wholly owned domestic subsidiary of the Company, MGI Luxury Group GmbH (the “Swiss Borrower” and, together with the U.S. Borrowers, the “Borrowers”), a wholly owned Swiss subsidiary of the Company, and Movado Group Nederland B.V., a wholly owned Netherlands subsidiary of the Company, as guarantor (the “Guarantor”), entered into an Amendment No. 7 to Credit Agreement (the “Amendment”) with the lenders party thereto and Bank of America, N.A., as administrative agent (in such capacity, the “Agent”), which amends the Company’s Amended and Restated Credit Agreement dated as of October 12, 2018 by and among the Borrowers, the Guarantors, the lenders party thereto and the Agent (the “Credit Agreement”). The Amendment, among other things, (i) extends the maturity of the Company’s senior secured revolving credit facility (the “Facility”) provided under the Credit Agreement from October 28, 2026 to July 16, 2031, (ii) reduces the commitments under the Facility from $100.0 million to $75.0 million, (iii) eliminates the 0.10% per annum SOFR adjustment and (iv) increases the interest rate margins under the Facility by 0.10% per annum.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Facility includes a $15.0 million letter of credit subfacility and a $25.0 million swingline subfacility, with provisions for uncommitted increases of up to $50.0 million in the aggregate subject to customary terms and conditions. As of July 16, 2026, no loans were drawn, and approximately $299,000 in letters of credit were outstanding, under the Facility. As of July 16, 2026, availability under the Facility was approximately $74.701 million.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is not complete and is subject to and qualified in its entirety by reference to the Amendment, a copy of which is filed as Exhibit 10.1 hereto and is incorporated herein by reference.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2"/>
        <w:gridCol w:w="9375"/>
      </w:tblGrid>
      <w:tr>
        <w:trPr/>
        <w:tc>
          <w:tcPr>
            <w:tcW w:w="3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w:t>
            </w:r>
          </w:p>
        </w:tc>
        <w:tc>
          <w:tcPr>
            <w:tcW w:w="9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Creation of a Direct Financial Obligation or an Obligation under an Off-Balance Sheet Arrangement of a Registrant.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above is incorporated into this Item 2.03 by reference.</w:t>
      </w:r>
    </w:p>
    <w:p>
      <w:pPr>
        <w:pStyle w:val="TextBody"/>
        <w:bidi w:val="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Statements and Exhibits </w:t>
            </w:r>
          </w:p>
        </w:tc>
      </w:tr>
    </w:tbl>
    <w:p>
      <w:pPr>
        <w:pStyle w:val="TextBody"/>
        <w:bidi w:val="0"/>
        <w:spacing w:before="24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left"/>
              <w:rPr/>
            </w:pPr>
            <w:hyperlink w:anchor="eh260807356_ex1001.htm">
              <w:r>
                <w:rPr>
                  <w:rStyle w:val="InternetLink"/>
                  <w:rFonts w:ascii="Times New Roman;Times;Serif" w:hAnsi="Times New Roman;Times;Serif"/>
                  <w:b w:val="false"/>
                  <w:i w:val="false"/>
                  <w:caps w:val="false"/>
                  <w:smallCaps w:val="false"/>
                  <w:color w:val="000000"/>
                  <w:sz w:val="20"/>
                </w:rPr>
                <w:t>Amendment No. 7 to Credit Agreement, dated July 16, 2026, by and among the Borrowers, the Guarantor, the lenders party thereto and the Agent.</w:t>
              </w:r>
            </w:hyperlink>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on Form 8-K to be signed on its behalf by the undersigned hereunto duly authorized.</w:t>
      </w:r>
    </w:p>
    <w:p>
      <w:pPr>
        <w:pStyle w:val="TextBody"/>
        <w:bidi w:val="0"/>
        <w:spacing w:before="0" w:after="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16, 2026</w:t>
      </w:r>
    </w:p>
    <w:p>
      <w:pPr>
        <w:pStyle w:val="TextBody"/>
        <w:bidi w:val="0"/>
        <w:spacing w:before="0" w:after="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545"/>
        <w:gridCol w:w="3500"/>
        <w:gridCol w:w="75"/>
      </w:tblGrid>
      <w:tr>
        <w:trPr/>
        <w:tc>
          <w:tcPr>
            <w:tcW w:w="75" w:type="dxa"/>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MOVADO GROUP,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Mitchell Sussis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Sussis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General Counsel</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40"/>
        <w:jc w:val="right"/>
        <w:rPr>
          <w:rFonts w:ascii="Times New Roman;Times;Serif" w:hAnsi="Times New Roman;Times;Serif"/>
          <w:b/>
          <w:i w:val="false"/>
          <w:caps w:val="false"/>
          <w:smallCaps w:val="false"/>
          <w:sz w:val="20"/>
        </w:rPr>
      </w:pPr>
      <w:bookmarkStart w:id="23" w:name="eh260807356_ex1001.htm"/>
      <w:bookmarkStart w:id="24" w:name="kseh260807356_ex1001"/>
      <w:bookmarkEnd w:id="23"/>
      <w:bookmarkEnd w:id="24"/>
      <w:r>
        <w:rPr>
          <w:rFonts w:ascii="Times New Roman;Times;Serif" w:hAnsi="Times New Roman;Times;Serif"/>
          <w:b/>
          <w:i w:val="false"/>
          <w:caps w:val="false"/>
          <w:smallCaps w:val="false"/>
          <w:sz w:val="20"/>
        </w:rPr>
        <w:t>EXHIBIT 10.1</w:t>
      </w:r>
      <w:r>
        <w:br w:type="page"/>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7 TO CREDIT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sz w:val="20"/>
        </w:rPr>
        <w:t>Amendment No. 7 to Credit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July 16, 2026 (the “</w:t>
      </w:r>
      <w:r>
        <w:rPr>
          <w:rFonts w:ascii="Times New Roman;Times;Serif" w:hAnsi="Times New Roman;Times;Serif"/>
          <w:b w:val="false"/>
          <w:i w:val="false"/>
          <w:caps w:val="false"/>
          <w:smallCaps w:val="false"/>
          <w:sz w:val="20"/>
          <w:u w:val="single"/>
        </w:rPr>
        <w:t>Amendment Date</w:t>
      </w:r>
      <w:r>
        <w:rPr>
          <w:rFonts w:ascii="Times New Roman;Times;Serif" w:hAnsi="Times New Roman;Times;Serif"/>
          <w:b w:val="false"/>
          <w:i w:val="false"/>
          <w:caps w:val="false"/>
          <w:smallCaps w:val="false"/>
          <w:sz w:val="20"/>
        </w:rPr>
        <w:t>”), is made by and among Movado Group, Inc., a New York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Movado Group Delaware Holdings Corporation, a Delaware corporation (“</w:t>
      </w:r>
      <w:r>
        <w:rPr>
          <w:rFonts w:ascii="Times New Roman;Times;Serif" w:hAnsi="Times New Roman;Times;Serif"/>
          <w:b w:val="false"/>
          <w:i w:val="false"/>
          <w:caps w:val="false"/>
          <w:smallCaps w:val="false"/>
          <w:sz w:val="20"/>
          <w:u w:val="single"/>
        </w:rPr>
        <w:t>MGDHC</w:t>
      </w:r>
      <w:r>
        <w:rPr>
          <w:rFonts w:ascii="Times New Roman;Times;Serif" w:hAnsi="Times New Roman;Times;Serif"/>
          <w:b w:val="false"/>
          <w:i w:val="false"/>
          <w:caps w:val="false"/>
          <w:smallCaps w:val="false"/>
          <w:sz w:val="20"/>
        </w:rPr>
        <w:t>”), Movado LLC, a Delaware limited liability company (“</w:t>
      </w:r>
      <w:r>
        <w:rPr>
          <w:rFonts w:ascii="Times New Roman;Times;Serif" w:hAnsi="Times New Roman;Times;Serif"/>
          <w:b w:val="false"/>
          <w:i w:val="false"/>
          <w:caps w:val="false"/>
          <w:smallCaps w:val="false"/>
          <w:sz w:val="20"/>
          <w:u w:val="single"/>
        </w:rPr>
        <w:t>MLLC</w:t>
      </w:r>
      <w:r>
        <w:rPr>
          <w:rFonts w:ascii="Times New Roman;Times;Serif" w:hAnsi="Times New Roman;Times;Serif"/>
          <w:b w:val="false"/>
          <w:i w:val="false"/>
          <w:caps w:val="false"/>
          <w:smallCaps w:val="false"/>
          <w:sz w:val="20"/>
        </w:rPr>
        <w:t>”), Movado Retail Group, Inc., a New Jersey corporation (“</w:t>
      </w:r>
      <w:r>
        <w:rPr>
          <w:rFonts w:ascii="Times New Roman;Times;Serif" w:hAnsi="Times New Roman;Times;Serif"/>
          <w:b w:val="false"/>
          <w:i w:val="false"/>
          <w:caps w:val="false"/>
          <w:smallCaps w:val="false"/>
          <w:sz w:val="20"/>
          <w:u w:val="single"/>
        </w:rPr>
        <w:t>MRGI</w:t>
      </w:r>
      <w:r>
        <w:rPr>
          <w:rFonts w:ascii="Times New Roman;Times;Serif" w:hAnsi="Times New Roman;Times;Serif"/>
          <w:b w:val="false"/>
          <w:i w:val="false"/>
          <w:caps w:val="false"/>
          <w:smallCaps w:val="false"/>
          <w:sz w:val="20"/>
        </w:rPr>
        <w:t>”), MGI Luxury Group GmbH, a limited liability company organized and existing under the laws of Switzerland (“</w:t>
      </w:r>
      <w:r>
        <w:rPr>
          <w:rFonts w:ascii="Times New Roman;Times;Serif" w:hAnsi="Times New Roman;Times;Serif"/>
          <w:b w:val="false"/>
          <w:i w:val="false"/>
          <w:caps w:val="false"/>
          <w:smallCaps w:val="false"/>
          <w:sz w:val="20"/>
          <w:u w:val="single"/>
        </w:rPr>
        <w:t>MGILG</w:t>
      </w:r>
      <w:r>
        <w:rPr>
          <w:rFonts w:ascii="Times New Roman;Times;Serif" w:hAnsi="Times New Roman;Times;Serif"/>
          <w:b w:val="false"/>
          <w:i w:val="false"/>
          <w:caps w:val="false"/>
          <w:smallCaps w:val="false"/>
          <w:sz w:val="20"/>
        </w:rPr>
        <w:t>” and, together with Parent, MGDHC, MLLC, and MRGI, collectively,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Movado Group Nederland B.V., a private company with limited liability incorporated under the laws of the Netherlands (“</w:t>
      </w:r>
      <w:r>
        <w:rPr>
          <w:rFonts w:ascii="Times New Roman;Times;Serif" w:hAnsi="Times New Roman;Times;Serif"/>
          <w:b w:val="false"/>
          <w:i w:val="false"/>
          <w:caps w:val="false"/>
          <w:smallCaps w:val="false"/>
          <w:sz w:val="20"/>
          <w:u w:val="single"/>
        </w:rPr>
        <w:t>Nederland BV</w:t>
      </w:r>
      <w:r>
        <w:rPr>
          <w:rFonts w:ascii="Times New Roman;Times;Serif" w:hAnsi="Times New Roman;Times;Serif"/>
          <w:b w:val="false"/>
          <w:i w:val="false"/>
          <w:caps w:val="false"/>
          <w:smallCaps w:val="false"/>
          <w:sz w:val="20"/>
        </w:rPr>
        <w:t>”, and, in its capacity as a guarantor,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collectively with the Borrowers, the “</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the Lenders party hereto and Bank of America, N.A. (“</w:t>
      </w:r>
      <w:r>
        <w:rPr>
          <w:rFonts w:ascii="Times New Roman;Times;Serif" w:hAnsi="Times New Roman;Times;Serif"/>
          <w:b w:val="false"/>
          <w:i w:val="false"/>
          <w:caps w:val="false"/>
          <w:smallCaps w:val="false"/>
          <w:sz w:val="20"/>
          <w:u w:val="single"/>
        </w:rPr>
        <w:t>BofA</w:t>
      </w:r>
      <w:r>
        <w:rPr>
          <w:rFonts w:ascii="Times New Roman;Times;Serif" w:hAnsi="Times New Roman;Times;Serif"/>
          <w:b w:val="false"/>
          <w:i w:val="false"/>
          <w:caps w:val="false"/>
          <w:smallCaps w:val="false"/>
          <w:sz w:val="20"/>
        </w:rPr>
        <w:t>”), in its capacity as administrative agent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under that certain Amended and Restated Credit Agreement, dated as of October 12, 2018 (as amended, modified, extended, restated, replaced, or supplemented from time to time and in effect immediately prior to this Amendment,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and as amended pursuant hereto and as further amended, modified, extended, restated, replaced, or supplemented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Borrowers, the Guarantors party thereto, the Lenders, and the Administrative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MGDHC, MLLC, MRGI and the Administrative Agent entered into that certain Security and Pledge Agreement, dated as of January 30, 2015 (as amended, modified, extended, restated, replaced, or supplemented from time to time prior to the date hereof, the “</w:t>
      </w:r>
      <w:r>
        <w:rPr>
          <w:rFonts w:ascii="Times New Roman;Times;Serif" w:hAnsi="Times New Roman;Times;Serif"/>
          <w:b w:val="false"/>
          <w:i w:val="false"/>
          <w:caps w:val="false"/>
          <w:smallCaps w:val="false"/>
          <w:sz w:val="20"/>
          <w:u w:val="single"/>
        </w:rPr>
        <w:t>Existing Security Agreement</w:t>
      </w:r>
      <w:r>
        <w:rPr>
          <w:rFonts w:ascii="Times New Roman;Times;Serif" w:hAnsi="Times New Roman;Times;Serif"/>
          <w:b w:val="false"/>
          <w:i w:val="false"/>
          <w:caps w:val="false"/>
          <w:smallCaps w:val="false"/>
          <w:sz w:val="20"/>
        </w:rPr>
        <w:t>”; and, as amended pursuant hereto and as further amended, modified, extended, restated, replaced, or supplemented from time to time,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Borrowers have requested that the Administrative Agent and the Lenders make certain amendments to the Existing Credit Agreement, including, among other things, to (i) replace the Commitments under the Existing Credit Agreement with the Aggregate Commitments set forth on the amended and restated Schedule 1.01(b) attached hereto as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Replacement Commitments</w:t>
      </w:r>
      <w:r>
        <w:rPr>
          <w:rFonts w:ascii="Times New Roman;Times;Serif" w:hAnsi="Times New Roman;Times;Serif"/>
          <w:b w:val="false"/>
          <w:i w:val="false"/>
          <w:caps w:val="false"/>
          <w:smallCaps w:val="false"/>
          <w:sz w:val="20"/>
        </w:rPr>
        <w:t>”), (ii) acknowledge the election of PNC Bank, National Association (the “</w:t>
      </w:r>
      <w:r>
        <w:rPr>
          <w:rFonts w:ascii="Times New Roman;Times;Serif" w:hAnsi="Times New Roman;Times;Serif"/>
          <w:b w:val="false"/>
          <w:i w:val="false"/>
          <w:caps w:val="false"/>
          <w:smallCaps w:val="false"/>
          <w:sz w:val="20"/>
          <w:u w:val="single"/>
        </w:rPr>
        <w:t>Exiting Lender</w:t>
      </w:r>
      <w:r>
        <w:rPr>
          <w:rFonts w:ascii="Times New Roman;Times;Serif" w:hAnsi="Times New Roman;Times;Serif"/>
          <w:b w:val="false"/>
          <w:i w:val="false"/>
          <w:caps w:val="false"/>
          <w:smallCaps w:val="false"/>
          <w:sz w:val="20"/>
        </w:rPr>
        <w:t>”) to not provide a Replacement Commitment and, therefore, to no longer be a Lender under the Credit Agreement as of the Amendment Date pursuant to the terms of a separate exiting lender agreement (the “</w:t>
      </w:r>
      <w:r>
        <w:rPr>
          <w:rFonts w:ascii="Times New Roman;Times;Serif" w:hAnsi="Times New Roman;Times;Serif"/>
          <w:b w:val="false"/>
          <w:i w:val="false"/>
          <w:caps w:val="false"/>
          <w:smallCaps w:val="false"/>
          <w:sz w:val="20"/>
          <w:u w:val="single"/>
        </w:rPr>
        <w:t>Exiting Lender Letter</w:t>
      </w:r>
      <w:r>
        <w:rPr>
          <w:rFonts w:ascii="Times New Roman;Times;Serif" w:hAnsi="Times New Roman;Times;Serif"/>
          <w:b w:val="false"/>
          <w:i w:val="false"/>
          <w:caps w:val="false"/>
          <w:smallCaps w:val="false"/>
          <w:sz w:val="20"/>
        </w:rPr>
        <w:t xml:space="preserve">”), (iii) extend the Maturity Date and (iv) make certain other modifications to the Existing Credit Agreement, all as more fully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Borrowers have requested that the Administrative Agent and the Lenders make certain amendments to the Existing Security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Administrative Agent and the Lenders have agreed to such amendments, the Lenders party hereto are willing to provide the Replacement Commitments, and the Exiting Lender has agreed to deliver an Exiting Lender Letter, in each case, on the terms provided herein, to be effective as of the Amendment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Schedule 1.01(b) to the Existing Credit Agreement will be amended and restated in the form attached hereto as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to reflect the Aggregate Commitments of the Lenders upon the effectiveness of this Amendment;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effectiveness of this Amendment, BofA will be the only Lender that has a Replacement Commitment;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Parties, the Administrative Agent and the Lenders party hereto each acknowledge that the terms of this Amendment constitute a modification to, and not a novation or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extinguishment of, the Credit Agreement, the Security Agreement and the other Loan Documents and, except as expressly modified herein, all terms, conditions, rights and obligations as set out in the Loan Documents are hereby reaffirmed and shall otherwise remain in full force and effect as originally written and agreed.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which are confirmed by the parties hereto as a true, correct and substantive part of this Amendment, and other good and valuable consideration, the receipt and sufficiency of which are hereby acknowledged, the parties hereto hereby agree as follows: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herein without definition shall have the meanings assigned to such terms in the Existing Credit Agreement or the Existing Security Agreement, as applicable. This Amendment shall constitute a Loan Document for all purposes of the Credit Agreement and the other Loan Documents. On and after the Amendment Date, each reference in the Credit Agreement or the Security Agreement, as applicable, to “this Agreement”, “hereunder”, “hereof” or words of like import referring to the Credit Agreement or the Security Agreement, as applicable, shall include this Amendment.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Amendments to Existing Credit Agreement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Effective on and as of the Amendment Date, the Existing Credit Agreement (excluding the schedules and exhibits thereto, which shall remain in full force and effect, except as specifically referenced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is hereby amended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(i) to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(ii) to insert the double underlined text (indicated textually in the same manner as the following example: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xml:space="preserve"> to the Existing Credit Agreement is hereby amended and restated as set forth on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attached hereto.</w:t>
      </w:r>
    </w:p>
    <w:p>
      <w:pPr>
        <w:pStyle w:val="TextBody"/>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Amendments to Existing Security Agreement.</w:t>
      </w:r>
    </w:p>
    <w:tbl>
      <w:tblPr>
        <w:tblW w:w="5000" w:type="pct"/>
        <w:jc w:val="left"/>
        <w:tblInd w:w="0" w:type="dxa"/>
        <w:tblLayout w:type="fixed"/>
        <w:tblCellMar>
          <w:top w:w="0" w:type="dxa"/>
          <w:left w:w="0" w:type="dxa"/>
          <w:bottom w:w="0" w:type="dxa"/>
          <w:right w:w="0" w:type="dxa"/>
        </w:tblCellMar>
      </w:tblPr>
      <w:tblGrid>
        <w:gridCol w:w="41"/>
        <w:gridCol w:w="298"/>
        <w:gridCol w:w="9866"/>
      </w:tblGrid>
      <w:tr>
        <w:trPr/>
        <w:tc>
          <w:tcPr>
            <w:tcW w:w="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(a)</w:t>
            </w:r>
          </w:p>
        </w:tc>
        <w:tc>
          <w:tcPr>
            <w:tcW w:w="9866" w:type="dxa"/>
            <w:tcBorders/>
            <w:vAlign w:val="center"/>
          </w:tcPr>
          <w:p>
            <w:pPr>
              <w:pStyle w:val="TableContents"/>
              <w:bidi w:val="0"/>
              <w:spacing w:before="0" w:after="283"/>
              <w:jc w:val="left"/>
              <w:rPr/>
            </w:pPr>
            <w:r>
              <w:rPr/>
              <w:t>Section 4(c) of the Security Agreement is hereby amended and restated in its entirety as follows:</w:t>
            </w:r>
          </w:p>
        </w:tc>
      </w:tr>
    </w:tbl>
    <w:p>
      <w:pPr>
        <w:pStyle w:val="TextBody"/>
        <w:bidi w:val="0"/>
        <w:spacing w:before="0" w:after="24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 Perfection through Possession and Control.</w:t>
      </w:r>
      <w:r>
        <w:rPr>
          <w:rFonts w:ascii="Times New Roman;Times;Serif" w:hAnsi="Times New Roman;Times;Serif"/>
          <w:b w:val="false"/>
          <w:i w:val="false"/>
          <w:caps w:val="false"/>
          <w:smallCaps w:val="false"/>
          <w:sz w:val="20"/>
        </w:rPr>
        <w:t xml:space="preserve"> Deliver to the Administrative Agent promptly upon the receipt thereof by or on behalf of a Grantor, all certificates and instruments constituting Certificated Securities or Pledged Equity owned by such Grantor; provided that, unless an Event of Default has occurred and is continuing, no Grantor shall be required to deliver certificates or instruments constituting Certificated Securities or Pledged Equity of any Foreign Subsidiary identified by the Borrowers and approved in writing by the Administrative Agent as immaterial to the business, operations or financial condition of the Borrowers and their Subsidiaries, taken as a whole. Prior to delivery to the Administrative Agent, all such certificates constituting Pledged Equity shall be held in trust by such Grantor for the benefit of the Administrative Agent pursuant hereto. All such certificates representing Pledged Equity shall be delivered in suitable form for transfer by delivery or shall be accompanied by duly executed instruments of transfer or assignment in blank, substantially in a form reasonably acceptable to the Administrative Agent.”</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left"/>
              <w:rPr/>
            </w:pPr>
            <w:r>
              <w:rPr/>
              <w:t>Clause (iii) of Section 4(i) of the Security Agreement is hereby amended and restated in its entirety as follows:</w:t>
            </w:r>
          </w:p>
        </w:tc>
      </w:tr>
    </w:tbl>
    <w:p>
      <w:pPr>
        <w:pStyle w:val="TextBody"/>
        <w:bidi w:val="0"/>
        <w:spacing w:before="0" w:after="24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(iii) If any Grantor shall become entitled to receive or shall receive (A) any Certificated Securities (including, without limitation, any certificate representing a stock dividend or a</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in connection with any reclassification, increase or reduction of capital or any certificate issued in connection with any reorganization), option or rights in respect of the ownership interests of any Issuer, whether in addition to, in substitution of, as a conversion of, or in exchange for, any Investment Property, or otherwise in respect thereof, or (B) any sums paid upon or in respect of any Investment Property upon the liquidation or dissolution of any Issuer, such Grantor shall accept the same as the agent of the Secured Parties, hold the same in trust for the Secured Parties, segregated from other funds of such Grantor, and promptly deliver the same to the Administrative Agent, on behalf of the Secured Parties, in accordance with the terms hereof; provided that, unless an Event of Default has occurred and is continuing, no Grantor shall be required to deliver any Certificated Securities, options or rights in respect of the ownership interests of any Foreign Subsidiary identified by the Borrowers and approved in writing by the Administrative Agent to be immaterial to the business, operations or financial condition of the Borrowers and their Subsidiaries, taken as a whole.”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Existing Loans and Commitments; Exiting Lenders; Aggregate Commitment.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this Amendment or in the Credit Agreement, (i) all participation obligations of the Exiting Lender in respect of Letters of Credit outstanding as of the Amendment Date will be reallocated to the Lender holding the Replacement Commitments on the Amendment Date, (ii) the commitments of the Lenders under the Existing Credit Agreement shall be replaced on the Amendment Date with the Replacement Commitments, as set forth on the amended and restated Schedule 1.01(b) attached as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hereto, (iii) on the Amendment Date, the Exiting Lender shall be repaid all Obligations owing to it and its commitment under the Existing Credit Agreement shall be terminated and not replaced with a Replacement Commitment (it being agreed that all amounts that may be owing to the Exiting Lender by the Borrowers may be paid on a non-pro rata basis and the Exiting Lender’s Commitment may be terminated on a non-pro rata basis), and (iv) for the avoidance of doubt, the effectiveness of such Replacement Commitments shall not be, and shall not be construed to be, a novation, discharge, rescission, extinguishment, or substitution of the Borrowers’ obligations or liabilities arising under any Loan Document. Any modifications to the Existing Credit Agreement requiring the consent of all Lenders or all affected Lenders (but, for the avoidance of doubt, not Required Lenders) shall be deemed to have been provided by the Lenders hereto on the Amendment Date and for purposes of such voting the Exiting Lender shall have been deemed to have assigned its Commitments and its participation obligations in respect of Letters of Credit under the Existing Credit Agreement as set forth above (for the avoidance of doubt, waiving any applicable requirements of Section 11.06 of the Existing Credit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party hereto hereby severally and not jointly agrees, subject to the terms of this Amendment and the Credit Agreement, to fund, and make one or more loans in immediately available funds to the Borrowers on or after the Amendment Date, in each case up to an aggregate principal amount equal to its Applicable Percentage of the Aggregate Commitments (after giving effect to this Amendment), as set forth on the amended and restated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xml:space="preserve"> attached as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hereto. Upon the effectiveness of this Amendment, the Replacement Commitments shall be the Commitments under and referred to in the Credit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This Amendment shall become effective as of the Amendment Date, provided that each of the following conditions to effectiveness shall have been satisfied in each case in form and substance acceptable to the Administrative Agent: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The Administrative Agent shall have received a counterpart signature page to this Amendment duly executed and delivered by each of the Loan Parties and each of the Lenders.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The Administrative Agent shall have received an Officer’s Certificate dated the Amendment Date, certifying as to (i) the Organization Documents of each Loan Party (which, to the extent filed with a Governmental Authority, shall be certified as of a recent date by such Governmental Authority), or in lieu thereof a certification from each Loan Party that its Organization Documents have not changed from those previously delivered to the Administrative Agent, (ii) the resolutions of the governing body of each Loan Party (including, with respect to a Swiss Loan Party, (a) a copy of minutes of a meeting (or of a circular resolution) of the board of directors of such Swiss Loan Party approving the Loan Documents to which it is a party and (b) a copy of minutes of a meeting of the general meeting of shareholders of such Swiss Loan Party approving the Loan Documents to which it is a party), (iii) the good standing, existence or its equivalent of each Loan Party and (iv) of the incumbency (including specimen signatures) of the Responsible Officers of each Loan Party.</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Legal Opinions of Counsel</w:t>
      </w:r>
      <w:r>
        <w:rPr>
          <w:rFonts w:ascii="Times New Roman;Times;Serif" w:hAnsi="Times New Roman;Times;Serif"/>
          <w:b w:val="false"/>
          <w:i w:val="false"/>
          <w:caps w:val="false"/>
          <w:smallCaps w:val="false"/>
          <w:sz w:val="20"/>
        </w:rPr>
        <w:t>. The Administrative Agent shall have received an opinion or opinions (including, local counsel opinions and an inhouse counsel opinion) of counsel for the Loan Parties, dated the Amendment Date and addressed to the Administrative Agent and the Lenders, in form and substance reasonably acceptable to the Administrative Agent.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The Administrative Agent and the Lenders shall have received copies of a set of projections including the projected financial performance of the Parent and its Subsidiaries through the Maturity Date prepared in good faith based upon assumptions believed to be reasonable at the time prepared and at the time provided, each in form and substance reasonably satisfactory to each of them.</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Perfection Certificate; Information Certificate; Lien Searches</w:t>
      </w:r>
      <w:r>
        <w:rPr>
          <w:rFonts w:ascii="Times New Roman;Times;Serif" w:hAnsi="Times New Roman;Times;Serif"/>
          <w:b w:val="false"/>
          <w:i w:val="false"/>
          <w:caps w:val="false"/>
          <w:smallCaps w:val="false"/>
          <w:sz w:val="20"/>
        </w:rPr>
        <w:t>. The Administrative Agent shall have received, in form and substance reasonably satisfactory to the Administrative Agent (i) a completed Perfection Certificate for each Domestic Loan Party and a completed Information Certificate for each Swiss Borrower, (ii) searches of UCC filings in the jurisdiction of incorporation or formation, as applicable, of each Domestic Loan Party and each other jurisdiction deemed reasonably appropriate by the Administrative Agent, copies of the financing statements on file in such jurisdictions and evidence that no Liens exist other than Permitted Liens, (iii) tax lien, judgment and bankruptcy searches in such jurisdictions as are deemed reasonably appropriate by the Administrative Agent and (iv) any filing and recordation necessary or desirable, in the Administrative Agent’s sole discretion, to perfect the Administrative Agent’s security interest in the Collateral.</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[Reserved.]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The Administrative Agent shall have received a Solvency Certificate signed by a Responsible Officer of Parent as to the financial condition, solvency and related matters of the Parent and its Subsidiaries, after giving effect to this Amendment and the other transactions contemplated hereby.</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Financial Condition Certificate</w:t>
      </w:r>
      <w:r>
        <w:rPr>
          <w:rFonts w:ascii="Times New Roman;Times;Serif" w:hAnsi="Times New Roman;Times;Serif"/>
          <w:b w:val="false"/>
          <w:i w:val="false"/>
          <w:caps w:val="false"/>
          <w:smallCaps w:val="false"/>
          <w:sz w:val="20"/>
        </w:rPr>
        <w:t xml:space="preserve">. The Administrative Agent shall have received a certificate or certificates executed by a Responsible Officer of the Parent as of the Amendment Date, (i) as to certain financial matters, substantially in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 xml:space="preserve"> and (ii) certifying that the conditions precedent set forth in paragraph (i), (j), (k) and (l)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are satisfied.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There shall not have occurred since January 31, 2026 any event or condition that has had or could be reasonably expected, either individually or in the aggregate, to have a Material Adverse Effect.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actions, suits, proceedings, claims or disputes pending or, to the knowledge of the Loan Parties after reasonably diligent investigation, threatened, at law, in equity, in arbitration or before any Governmental Authority, by or against any Loan Party or any Subsidiary or against any of their properties or revenues that either individually or in the aggregate could reasonably be expected to have a Material Adverse Effect except for the Watch Tariff Matter.</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Administrative Agent shall have received evidence that all members, boards of directors, governmental, shareholder and material third party consents and approvals necessary in connection with the execution and delivery by any Loan Party of this Amendment and the other Loan Documents have been obtained and are in full force and effect.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Existing Indebtedness of the Loan Parties</w:t>
      </w:r>
      <w:r>
        <w:rPr>
          <w:rFonts w:ascii="Times New Roman;Times;Serif" w:hAnsi="Times New Roman;Times;Serif"/>
          <w:b w:val="false"/>
          <w:i w:val="false"/>
          <w:caps w:val="false"/>
          <w:smallCaps w:val="false"/>
          <w:sz w:val="20"/>
        </w:rPr>
        <w:t>. The Administrative Agent and the Lenders shall be satisfied that there is no outstanding Indebtedness for borrowed money of any Borrower and any of their Subsidiaries (other than Indebtedness permitted to exist pursuant to Section 7.02 of the Credit Agreement).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Administrative Agent and the Lenders shall have received all fees and expenses (including the fees and expenses of counsel (including any local counsel) for the Administrative Agent invoiced at least one Business Day prior to the Amendment Date), if any, owing pursuant to the Loan Documents.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The Lenders shall have completed a due diligence investigation of the Borrowers and its Subsidiaries in scope, and with results, satisfactory to the Lenders, including, without limitation, U.S. Department of Treasury Office of Foreign Assets Control, Foreign Corrupt Practices Act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and “know your customer” due diligence.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Licensing Requirements</w:t>
      </w:r>
      <w:r>
        <w:rPr>
          <w:rFonts w:ascii="Times New Roman;Times;Serif" w:hAnsi="Times New Roman;Times;Serif"/>
          <w:b w:val="false"/>
          <w:i w:val="false"/>
          <w:caps w:val="false"/>
          <w:smallCaps w:val="false"/>
          <w:sz w:val="20"/>
        </w:rPr>
        <w:t>. The Administrative Agent, Swingline Lender and L/C Issuer and each Lender shall have obtained all applicable licenses, consents, permits and approvals as deemed necessary by such Lender in order to execute and perform the transactions contemplated by the Loan Documents.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KYC Information</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left"/>
              <w:rPr/>
            </w:pPr>
            <w:r>
              <w:rPr/>
              <w:t>Upon the request of any Lender made at least ten (10) days prior to the Amendment Date, the Borrowers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(3) Business Days prior to the Amendment Date.</w:t>
            </w:r>
          </w:p>
        </w:tc>
      </w:tr>
    </w:tbl>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7" w:type="dxa"/>
            <w:tcBorders/>
            <w:vAlign w:val="center"/>
          </w:tcPr>
          <w:p>
            <w:pPr>
              <w:pStyle w:val="TableContents"/>
              <w:bidi w:val="0"/>
              <w:spacing w:before="0" w:after="283"/>
              <w:jc w:val="left"/>
              <w:rPr/>
            </w:pPr>
            <w:r>
              <w:rPr/>
              <w:t>At least three (3) Business Days prior to the Amendment Date, any Borrower that qualifies as a “legal entity customer” under the Beneficial Ownership Regulation shall deliver, to any requesting Lender, a Beneficial Ownership Certification in relation to such Borrower.</w:t>
            </w:r>
          </w:p>
        </w:tc>
      </w:tr>
    </w:tbl>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Exiting Lender Letter</w:t>
      </w:r>
      <w:r>
        <w:rPr>
          <w:rFonts w:ascii="Times New Roman;Times;Serif" w:hAnsi="Times New Roman;Times;Serif"/>
          <w:b w:val="false"/>
          <w:i w:val="false"/>
          <w:caps w:val="false"/>
          <w:smallCaps w:val="false"/>
          <w:sz w:val="20"/>
        </w:rPr>
        <w:t>. The Administrative Agent shall have received an Exiting Lender Letter from the Exiting Lender and the Exiting Lender shall have been paid all amounts due and owing to the Exiting Lender under the Existing Credit Agreement as of the Amendment Date.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Reallocation of Loans under the Existing Credit Agreement</w:t>
      </w:r>
      <w:r>
        <w:rPr>
          <w:rFonts w:ascii="Times New Roman;Times;Serif" w:hAnsi="Times New Roman;Times;Serif"/>
          <w:b w:val="false"/>
          <w:i w:val="false"/>
          <w:caps w:val="false"/>
          <w:smallCaps w:val="false"/>
          <w:sz w:val="20"/>
        </w:rPr>
        <w:t>. At the determination of the Administrative Agent, (i) all participation obligations of the Exiting Lender in respect of Letters of Credit outstanding as of the Amendment Date shall have been reallocated to the Lender</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the Replacement Commitments and (ii) the “Commitments” under the Existing Credit Agreement shall have been replaced with the Replacement Commitments.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Other Documents; Additional Information</w:t>
      </w:r>
      <w:r>
        <w:rPr>
          <w:rFonts w:ascii="Times New Roman;Times;Serif" w:hAnsi="Times New Roman;Times;Serif"/>
          <w:b w:val="false"/>
          <w:i w:val="false"/>
          <w:caps w:val="false"/>
          <w:smallCaps w:val="false"/>
          <w:sz w:val="20"/>
        </w:rPr>
        <w:t>. All other documents, additional information and materials provided for herein or which the Administrative Agent or any other Lender may reasonably request or require.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of the Loan Parties represents and warrants to the Lenders and the Administrative Agent that: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of this Amendment and the transactions contemplated hereby have been duly authorized by all necessary corporate or other organizational action by the Guarantors and the Borrowers, as applicable, and do not and will not (i) contravene the terms of any of such Person’s Organization Documents or (ii) conflict with or result in any breach or contravention of, or the creation of any Lien under, or require any payment to be made under (A) any Contractual Obligation to which such Person is a party or affecting such Person or the properties of such Person or any of its Subsidiaries, except for any conflict, breach or contravention that, either individually or in the aggregate, could not reasonably be expected to have a Material Adverse Effect, or (B) any order, injunction, writ or decree of any Governmental Authority or any arbitral award to which such Person or its property is subject; or (iii) violate any Law in any material respect;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this Amendment, the Credit Agreement, the Security Agreement and the other Loan Documents have been duly executed and delivered by each Loan Party that is party thereto, as applicable and constitutes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principals of equity;</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approval, consent, exemption, authorization, or other action by, or notice to, or filing with, any Governmental Authority or any other Person is necessary or required in connection with (i) the execution, delivery or performance by, or enforcement against, any Loan Party of this Amendment or any other Loan Document, (ii) the grant by any Loan Party of the Liens granted by it pursuant to the Loan Documents, (iii) the perfection or maintenance of the Liens created under the Loan Documents (including the first priority nature thereof) or (iv) the exercise by the Administrative Agent or any Lender of its rights under the Credit Agreement, the Security Agreement or the Loan Documents or the remedies in respect of the Collateral pursuant to the Loan Documents, other than (A) authorizations, approvals, actions, notices and filings which have been duly obtained and (B) filings to perfect the Liens created by the Loan Documents;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Before and after giving effect to this Amendment, the representations and warranties made by each Loan Party contained in Article II of the Credit Agreement, Article V of the Credit Agreement and each other Loan Document are (i) with respect to representations and warranties that contain a materiality qualification, true and correct on and as of the date hereof and (ii) with respect to representations and warranties that do not contain a materiality qualification, true and correct in all material respects as of the date hereof (except that the representations and warranties contained in </w:t>
      </w:r>
      <w:r>
        <w:rPr>
          <w:rFonts w:ascii="Times New Roman;Times;Serif" w:hAnsi="Times New Roman;Times;Serif"/>
          <w:b w:val="false"/>
          <w:i w:val="false"/>
          <w:caps w:val="false"/>
          <w:smallCaps w:val="false"/>
          <w:sz w:val="20"/>
          <w:u w:val="single"/>
        </w:rPr>
        <w:t>Sections 5.05(a)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the Credit Agreement shall be deemed to refer to the most recent statements furnished pursuant to </w:t>
      </w:r>
      <w:r>
        <w:rPr>
          <w:rFonts w:ascii="Times New Roman;Times;Serif" w:hAnsi="Times New Roman;Times;Serif"/>
          <w:b w:val="false"/>
          <w:i w:val="false"/>
          <w:caps w:val="false"/>
          <w:smallCaps w:val="false"/>
          <w:sz w:val="20"/>
          <w:u w:val="single"/>
        </w:rPr>
        <w:t>Sections 6.01(a)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the Credit Agreement, respectively), except, in each case, for such representations and warranties that relate solely to an earlier date shall be true and correct as of such earlier date (or with respect to such representations and warranties that do not contain a materiality qualification, be true and correct in all material respects as of such earlier date); and</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Before and after giving effect to this Amendment, no Default or Event of Default under the Credit Agreement shall have occurred and be continuing.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No Waiver; Reservation of Rights</w:t>
      </w:r>
      <w:r>
        <w:rPr>
          <w:rFonts w:ascii="Times New Roman;Times;Serif" w:hAnsi="Times New Roman;Times;Serif"/>
          <w:b w:val="false"/>
          <w:i w:val="false"/>
          <w:caps w:val="false"/>
          <w:smallCaps w:val="false"/>
          <w:sz w:val="20"/>
        </w:rPr>
        <w:t xml:space="preserve">. This Amendment shall not, by implication or otherwise, constitute a waiver of any Default or Event of Default or limit, impair, constitute a waiver of or otherwise affect any rights or remedies of the Administrative Agent or the Lenders under the Credit Agreement, the Security Agreement or the other Loan Documents, nor alter, modify, amend or in any way affect any of the terms, obligations or covenants contained in the Credit Agreement, the Security Agreement or the Loan Documents, all of which shall continue in full force and effect, except to the extent expressly amended in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hereof. The Loan Parties hereby acknowledge that the Administrative Agent and the Lenders have not made any agreement or commitment to modify the Loan Documents other than as expressly set forth herein, and nothing in this Amendment shall be construed to imply any willingness on the part of the Administrative Agent or the Lenders to grant any future consent or waiver of any of the terms and conditions of the Credit Agreement, the Security Agreement or the other Loan Documents. The Lender Parties hereby reserve all rights and remedies available to them under the Loan Documents and applicable law.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Ratification, etc.</w:t>
      </w:r>
      <w:r>
        <w:rPr>
          <w:rFonts w:ascii="Times New Roman;Times;Serif" w:hAnsi="Times New Roman;Times;Serif"/>
          <w:b w:val="false"/>
          <w:i w:val="false"/>
          <w:caps w:val="false"/>
          <w:smallCaps w:val="false"/>
          <w:sz w:val="20"/>
        </w:rPr>
        <w:t xml:space="preserve"> Except as expressly amended hereby, the Credit Agreement, the Security Agreement and all other Loan Documents are hereby ratified and confirmed in all respects and shall continue in full force and effect. This Amendment, and the Credit Agreement or the Security Agreement, as applicable, shall hereafter be read and construed together as a single document, and all references in the Credit Agreement, the Security Agreement or any other agreements or instruments related to the Credit Agreement or Security Agreement shall hereafter refer to the Credit Agreement or the Security Agreement, as applicable, as amended by this Amendment. The Loan Parties, the Agent and the Lenders agree that the guarantees, the liens, assignments and security interests created by the Loan Documents, except to the extent previously released, shall continue and carry forward until the occurrence of the Facility Termination Date. The Loan Parties further agree that such guarantees, liens, assignments and security interests are hereby ratified and affirmed as valid and subsisting against the property described in the Loan Documents and that this Amendment shall in no manner vitiate, affect or impair the Loan Documents (except as expressly modified in this Agreement) and that such guarantees, liens, assignments, and security interests shall not in any manner be waived, released, altered or modified. Each Guarantor hereby reaffirms its guarantee contained in Article X of the Credit Agreement of the prompt payment of the Guaranteed Obligations in full when due, and acknowledges and agrees that such guarantee is and shall remain in full force and effect after giving effect to this Amendment. The Loan Parties acknowledge and agree that the Obligations include, and the Borrowers owe to Administrative Agent and Lenders, all of Administrative Agent and the Lenders’ reasonable expenses, costs and fees, including reasonable attorneys’ fees actually incurred in the enforcement of the Loan Documents and drafting and negotiation of this Amendment to the extent set forth in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of the Credit Agreement. The Loan Parties acknowledge and agree that, as of the Amendment Date, there are no offsets, defenses or claims against any part of the obligations under the Loan Documents The execution of this Amendment shall not operate as a novation, or waiver of any right, power or remedy of the Administrative Agent, the L/C Issuer, the Lenders or Secured Parties, or waiver of any provision of any of the Loan Documents. The Loan Parties agree and acknowledge that this Amendment shall be deemed a Loan Document. All references in the Loan Documents to the Credit Agreement or the Security Agreement, as applicable, shall be deemed to be references to the Credit Agreement or the Security Agreement, as applicable, as amended by this Amendment.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Waiver and Release</w:t>
      </w:r>
      <w:r>
        <w:rPr>
          <w:rFonts w:ascii="Times New Roman;Times;Serif" w:hAnsi="Times New Roman;Times;Serif"/>
          <w:b w:val="false"/>
          <w:i w:val="false"/>
          <w:caps w:val="false"/>
          <w:smallCaps w:val="false"/>
          <w:sz w:val="20"/>
        </w:rPr>
        <w:t>. The Loan Parties warrant and represent to the Administrative Agent and the Lenders that the loans evidenced by the Loan Documents are not subject to any credits, charges, claims, or rights of offset or deduction of any kind or character whatsoever and, as a material part of the consideration for the Agent and the Lenders entering into this Agreement, each Loan Party agrees as follows (the “</w:t>
      </w:r>
      <w:r>
        <w:rPr>
          <w:rFonts w:ascii="Times New Roman;Times;Serif" w:hAnsi="Times New Roman;Times;Serif"/>
          <w:b w:val="false"/>
          <w:i w:val="false"/>
          <w:caps w:val="false"/>
          <w:smallCaps w:val="false"/>
          <w:sz w:val="20"/>
          <w:u w:val="single"/>
        </w:rPr>
        <w:t>Release Provision</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HEREBY RELEASES AND FOREVER DISCHARGES THE ADMINISTRATIVE AGENT AND THE LENDERS AND EACH OF THEIR PREDECESSORS, SUCCESSORS, ASSIGNS, OFFICERS, MANAGERS, DIRECTORS, MEMBERS, SHAREHOLDERS, EMPLOYEES, AGENTS, ATTORNEYS, REPRESENTATIVES, PARENT CORPORATIONS, SUBSIDIARIES, AND AFFILIATES (HEREINAFTER ALL OF THE ABOVE COLLECTIVELY REFERRED TO AS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JOINTLY AND SEVERALLY FROM ANY AND ALL CLAIMS, COUNTERCLAIMS, DEMANDS, DAMAGES, DEBTS, AGREEMENTS, COVENANTS, SUITS, CONTRACTS, OBLIGATIONS, LIABILITIES, ACCOUNTS, OFFSETS, RIGHTS, ACTIONS, AND CAUSES OF ACTION OF ANY NATURE WHATSOEVER OCCURRING PRIOR TO THE DATE HEREOF AND ARISING OUT OF OR RELATED TO THE LOAN DOCUMENTS, INCLUDING, WITHOUT LIMITATION, ALL CLAIMS, DEMANDS, AND CAUSES OF ACTION FOR CONTRIBUTION AND INDEMNITY, WHETHER ARISING AT LAW OR IN EQUITY, PRESENTLY POSSESSED, WHETHER KNOWN OR UNKNOWN, WHETHER LIABILITY BE DIRECT OR INDIRECT, LIQUIDATED OR UNLIQUIDATED, PRESENTLY ACCRUED, WHETHER ABSOLUTE OR CONTINGENT, FORESEEN OR UNFORESEEN, AND WHETHER OR NOT HERETOFORE ASSERTED, SPECIFICALLY EXCLUDING, HOWEVER, CLAIMS ARISING FROM THE GROSS NEGLIGENCE AND/OR WILLFUL MISCONDUCT OF ANY OF THE RELEASED PARTIES, AS DETERMINED BY A COURT OF COMPETENT JURISDICTION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WHICH SUCH LOAN PARTY MAY HAVE OR CLAIM TO HAVE AGAINST ANY RELEASED PARTIES.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agrees not to sue any Released Parties or in any way assist any other Person in suing any Released Parties with respect to any Claim released herein. The Release Provision may be pleaded as a full and complete defense to, and may be used as the basis for an injunction against, any action, suit, or other proceeding which may be instituted, prosecuted, or attempted in breach of the release contained herein.</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Loan Party acknowledges, warrants, and represents to Released Parties that:</w:t>
      </w:r>
    </w:p>
    <w:p>
      <w:pPr>
        <w:pStyle w:val="TextBody"/>
        <w:bidi w:val="0"/>
        <w:spacing w:before="0" w:after="24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Loan Party has read and understands the effect of the Release Provision. Each Loan Party has had the assistance of independent counsel of its own choice, or has had the opportunity to retain such independent counsel, in reviewing, discussing, and considering all the terms of the Release Provision; and if counsel was retained, counsel for each Loan Party has read and considered the Release Provision and advised each Loan Party to execute the same. Before execution of this Agreement, each Loan Party has had adequate opportunity to make whatever investigation or inquiry it may deem necessary or desirable in connection with the subject matter of the Release Provision.</w:t>
      </w:r>
    </w:p>
    <w:p>
      <w:pPr>
        <w:pStyle w:val="TextBody"/>
        <w:bidi w:val="0"/>
        <w:spacing w:before="0" w:after="24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Loan Party is acting in reliance on any representation, understanding, or agreement not expressly set forth herein. Each Loan Party acknowledges that the Released Parties have not made any representation with respect to the Release Provision except as expressly set forth herein.</w:t>
      </w:r>
    </w:p>
    <w:p>
      <w:pPr>
        <w:pStyle w:val="TextBody"/>
        <w:bidi w:val="0"/>
        <w:spacing w:before="0" w:after="24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Loan Party has executed this Agreement and the Release Provision thereof as its free and voluntary act, without any duress, coercion, or undue influence exerted by or on behalf of any Person.</w:t>
      </w:r>
    </w:p>
    <w:p>
      <w:pPr>
        <w:pStyle w:val="TextBody"/>
        <w:bidi w:val="0"/>
        <w:spacing w:before="0" w:after="24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Loan Party is the sole owner of the Claims released by the Release Provision, and no Loan Party has heretofore conveyed or assigned any interest in any such Claims to any other Person.</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Loan Party understands that the Release Provision was a material consideration in the agreement of the Administrative Agent and the Lenders to enter into this Agreement.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is the express intent of the Loan Parties that the release and discharge set forth in the Release Provision be construed as broadly as possible in favor of the Released Parties so as to foreclose forever the assertion by each Loan Party of any Claims released hereby against Released Parties.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term, provision, covenant, or condition of the Release Provision is held by a court of competent jurisdiction to be invalid, illegal, or unenforceable, the remainder of the provisions shall remain in full force and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Counterparts; Governing Law</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Amendment may, if agreed by the Administrative Agent, be in the form of an Electronic Record and may be executed using Electronic 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shall be entitled to rely on any such Electronic Signature without further verification and (b) upon the request of the Administrative Agent any Electronic Signature shall be promptly followed by a manually executed, original counterpart. For purposes hereof, “Electronic Record” and “Electronic Signature” shall have the meanings assigned to them, respectively, by 15 USC §7006, as it may be amended from time to time. THIS AMENDMENT SHALL BE GOVERNED BY AND INTERPRETED AND DETERMINED IN ACCORDANCE WITH THE LAWS OF THE STATE OF NEW YORK.</w:t>
      </w:r>
    </w:p>
    <w:p>
      <w:pPr>
        <w:pStyle w:val="TextBody"/>
        <w:bidi w:val="0"/>
        <w:spacing w:before="0" w:after="240"/>
        <w:ind w:left="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THIS AMENDMENT, THE CREDIT AGREEMENT AS AMENDED BY THIS AMENDMENT, THE SECURITY AGREEMENT AS AMENDED BY THIS AMENDMENT, AND THE OTHER LOAN DOCUMENTS REPRESENT THE FINAL AGREEMENT AMONG THE PARTIES AND MAY NOT BE CONTRADICTED BY EVIDENCE OF PRIOR, CONTEMPORANEOUS, OR SUBSEQUENT ORAL AGREEMENTS OF THE PARTIES. THERE ARE NO UNWRITTEN ORAL AGREEMENTS AMONG THE PARTIES.</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pages follow</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intending to be legally bound, the parties hereto have duly executed this Amendment No. 7 to Credit Agreement as of the day and year first above written.</w:t>
      </w:r>
    </w:p>
    <w:p>
      <w:pPr>
        <w:pStyle w:val="TextBody"/>
        <w:bidi w:val="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1715"/>
        <w:gridCol w:w="650"/>
        <w:gridCol w:w="5420"/>
        <w:gridCol w:w="75"/>
      </w:tblGrid>
      <w:tr>
        <w:trPr/>
        <w:tc>
          <w:tcPr>
            <w:tcW w:w="1715" w:type="dxa"/>
            <w:tcBorders/>
            <w:vAlign w:val="center"/>
          </w:tcPr>
          <w:p>
            <w:pPr>
              <w:pStyle w:val="TableContents"/>
              <w:bidi w:val="0"/>
              <w:spacing w:before="0" w:after="283"/>
              <w:jc w:val="left"/>
              <w:rPr>
                <w:b/>
              </w:rPr>
            </w:pPr>
            <w:r>
              <w:rPr>
                <w:b/>
                <w:u w:val="single"/>
              </w:rPr>
              <w:t>BORROWERS</w:t>
            </w:r>
            <w:r>
              <w:rPr>
                <w:b/>
              </w:rPr>
              <w:t>:</w:t>
            </w:r>
          </w:p>
        </w:tc>
        <w:tc>
          <w:tcPr>
            <w:tcW w:w="6070" w:type="dxa"/>
            <w:gridSpan w:val="2"/>
            <w:tcBorders/>
            <w:vAlign w:val="center"/>
          </w:tcPr>
          <w:p>
            <w:pPr>
              <w:pStyle w:val="TableContents"/>
              <w:bidi w:val="0"/>
              <w:spacing w:before="0" w:after="283"/>
              <w:jc w:val="left"/>
              <w:rPr/>
            </w:pPr>
            <w:r>
              <w:rPr/>
              <w:t>MOVADO GROUP, INC.</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5420" w:type="dxa"/>
            <w:tcBorders>
              <w:bottom w:val="single" w:sz="8" w:space="0" w:color="000000"/>
            </w:tcBorders>
            <w:tcMar>
              <w:bottom w:w="28" w:type="dxa"/>
            </w:tcMar>
            <w:vAlign w:val="center"/>
          </w:tcPr>
          <w:p>
            <w:pPr>
              <w:pStyle w:val="TableContents"/>
              <w:bidi w:val="0"/>
              <w:spacing w:before="0" w:after="283"/>
              <w:jc w:val="left"/>
              <w:rPr/>
            </w:pPr>
            <w:r>
              <w:rPr/>
              <w:t>/s/ Sallie A. DeMarsilis</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420" w:type="dxa"/>
            <w:tcBorders/>
            <w:vAlign w:val="center"/>
          </w:tcPr>
          <w:p>
            <w:pPr>
              <w:pStyle w:val="TableContents"/>
              <w:bidi w:val="0"/>
              <w:spacing w:before="0" w:after="283"/>
              <w:jc w:val="left"/>
              <w:rPr/>
            </w:pPr>
            <w:r>
              <w:rPr/>
              <w:t>Sallie A. DeMarsilis</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420" w:type="dxa"/>
            <w:tcBorders/>
            <w:vAlign w:val="center"/>
          </w:tcPr>
          <w:p>
            <w:pPr>
              <w:pStyle w:val="TableContents"/>
              <w:bidi w:val="0"/>
              <w:spacing w:before="0" w:after="283"/>
              <w:jc w:val="left"/>
              <w:rPr/>
            </w:pPr>
            <w:r>
              <w:rPr/>
              <w:t>Chief Financial Officer and Principal Accounting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754" w:type="dxa"/>
        <w:jc w:val="left"/>
        <w:tblInd w:w="0" w:type="dxa"/>
        <w:tblLayout w:type="fixed"/>
        <w:tblCellMar>
          <w:top w:w="0" w:type="dxa"/>
          <w:left w:w="0" w:type="dxa"/>
          <w:bottom w:w="0" w:type="dxa"/>
          <w:right w:w="0" w:type="dxa"/>
        </w:tblCellMar>
      </w:tblPr>
      <w:tblGrid>
        <w:gridCol w:w="75"/>
        <w:gridCol w:w="1016"/>
        <w:gridCol w:w="5588"/>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604" w:type="dxa"/>
            <w:gridSpan w:val="2"/>
            <w:tcBorders/>
            <w:vAlign w:val="center"/>
          </w:tcPr>
          <w:p>
            <w:pPr>
              <w:pStyle w:val="TableContents"/>
              <w:bidi w:val="0"/>
              <w:spacing w:before="0" w:after="283"/>
              <w:jc w:val="left"/>
              <w:rPr/>
            </w:pPr>
            <w:r>
              <w:rPr/>
              <w:t>MOVADO GROUP DELAWARE HOLDINGS CORPORATION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55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By:</w:t>
            </w:r>
          </w:p>
        </w:tc>
        <w:tc>
          <w:tcPr>
            <w:tcW w:w="5588" w:type="dxa"/>
            <w:tcBorders>
              <w:bottom w:val="single" w:sz="8" w:space="0" w:color="000000"/>
            </w:tcBorders>
            <w:tcMar>
              <w:bottom w:w="28" w:type="dxa"/>
            </w:tcMar>
            <w:vAlign w:val="center"/>
          </w:tcPr>
          <w:p>
            <w:pPr>
              <w:pStyle w:val="TableContents"/>
              <w:bidi w:val="0"/>
              <w:spacing w:before="0" w:after="283"/>
              <w:jc w:val="left"/>
              <w:rPr/>
            </w:pPr>
            <w:r>
              <w:rPr/>
              <w:t>/s/ Sallie A. DeMarsilis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Name:</w:t>
            </w:r>
          </w:p>
        </w:tc>
        <w:tc>
          <w:tcPr>
            <w:tcW w:w="5588" w:type="dxa"/>
            <w:tcBorders/>
            <w:vAlign w:val="center"/>
          </w:tcPr>
          <w:p>
            <w:pPr>
              <w:pStyle w:val="TableContents"/>
              <w:bidi w:val="0"/>
              <w:spacing w:before="0" w:after="283"/>
              <w:jc w:val="left"/>
              <w:rPr/>
            </w:pPr>
            <w:r>
              <w:rPr/>
              <w:t>Sallie A. DeMarsilis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Title:</w:t>
            </w:r>
          </w:p>
        </w:tc>
        <w:tc>
          <w:tcPr>
            <w:tcW w:w="5588" w:type="dxa"/>
            <w:tcBorders/>
            <w:vAlign w:val="center"/>
          </w:tcPr>
          <w:p>
            <w:pPr>
              <w:pStyle w:val="TableContents"/>
              <w:bidi w:val="0"/>
              <w:spacing w:before="0" w:after="283"/>
              <w:jc w:val="left"/>
              <w:rPr/>
            </w:pPr>
            <w:r>
              <w:rPr/>
              <w:t>Chief Financial Officer and Treasurer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650"/>
        <w:gridCol w:w="221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2860" w:type="dxa"/>
            <w:gridSpan w:val="2"/>
            <w:tcBorders/>
            <w:vAlign w:val="center"/>
          </w:tcPr>
          <w:p>
            <w:pPr>
              <w:pStyle w:val="TableContents"/>
              <w:bidi w:val="0"/>
              <w:spacing w:before="0" w:after="283"/>
              <w:jc w:val="left"/>
              <w:rPr/>
            </w:pPr>
            <w:r>
              <w:rPr/>
              <w:t>MOVADO,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10" w:type="dxa"/>
            <w:tcBorders>
              <w:bottom w:val="single" w:sz="8" w:space="0" w:color="000000"/>
            </w:tcBorders>
            <w:tcMar>
              <w:bottom w:w="28" w:type="dxa"/>
            </w:tcMar>
            <w:vAlign w:val="center"/>
          </w:tcPr>
          <w:p>
            <w:pPr>
              <w:pStyle w:val="TableContents"/>
              <w:bidi w:val="0"/>
              <w:spacing w:before="0" w:after="283"/>
              <w:jc w:val="left"/>
              <w:rPr/>
            </w:pPr>
            <w:r>
              <w:rPr/>
              <w:t>/s/ Sallie A. DeMarsilis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10" w:type="dxa"/>
            <w:tcBorders/>
            <w:vAlign w:val="center"/>
          </w:tcPr>
          <w:p>
            <w:pPr>
              <w:pStyle w:val="TableContents"/>
              <w:bidi w:val="0"/>
              <w:spacing w:before="0" w:after="283"/>
              <w:jc w:val="left"/>
              <w:rPr/>
            </w:pPr>
            <w:r>
              <w:rPr/>
              <w:t>Sallie A. DeMarsilis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283"/>
              <w:jc w:val="left"/>
              <w:rPr/>
            </w:pPr>
            <w:r>
              <w:rPr/>
              <w:t>Treasurer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677"/>
        <w:gridCol w:w="2882"/>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559" w:type="dxa"/>
            <w:gridSpan w:val="2"/>
            <w:tcBorders/>
            <w:vAlign w:val="center"/>
          </w:tcPr>
          <w:p>
            <w:pPr>
              <w:pStyle w:val="TableContents"/>
              <w:bidi w:val="0"/>
              <w:spacing w:before="0" w:after="283"/>
              <w:jc w:val="left"/>
              <w:rPr/>
            </w:pPr>
            <w:r>
              <w:rPr/>
              <w:t>MOVADO RETAIL GROUP,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88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By:</w:t>
            </w:r>
          </w:p>
        </w:tc>
        <w:tc>
          <w:tcPr>
            <w:tcW w:w="2882" w:type="dxa"/>
            <w:tcBorders>
              <w:bottom w:val="single" w:sz="8" w:space="0" w:color="000000"/>
            </w:tcBorders>
            <w:tcMar>
              <w:bottom w:w="28" w:type="dxa"/>
            </w:tcMar>
            <w:vAlign w:val="center"/>
          </w:tcPr>
          <w:p>
            <w:pPr>
              <w:pStyle w:val="TableContents"/>
              <w:bidi w:val="0"/>
              <w:spacing w:before="0" w:after="283"/>
              <w:jc w:val="left"/>
              <w:rPr/>
            </w:pPr>
            <w:r>
              <w:rPr/>
              <w:t>/s/ Sallie A. DeMarsilis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Name:</w:t>
            </w:r>
          </w:p>
        </w:tc>
        <w:tc>
          <w:tcPr>
            <w:tcW w:w="2882" w:type="dxa"/>
            <w:tcBorders/>
            <w:vAlign w:val="center"/>
          </w:tcPr>
          <w:p>
            <w:pPr>
              <w:pStyle w:val="TableContents"/>
              <w:bidi w:val="0"/>
              <w:spacing w:before="0" w:after="283"/>
              <w:jc w:val="left"/>
              <w:rPr/>
            </w:pPr>
            <w:r>
              <w:rPr/>
              <w:t>Sallie A. DeMarsilis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Title:</w:t>
            </w:r>
          </w:p>
        </w:tc>
        <w:tc>
          <w:tcPr>
            <w:tcW w:w="2882" w:type="dxa"/>
            <w:tcBorders/>
            <w:vAlign w:val="center"/>
          </w:tcPr>
          <w:p>
            <w:pPr>
              <w:pStyle w:val="TableContents"/>
              <w:bidi w:val="0"/>
              <w:spacing w:before="0" w:after="283"/>
              <w:jc w:val="left"/>
              <w:rPr/>
            </w:pPr>
            <w:r>
              <w:rPr/>
              <w:t>Vice President and Treasurer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7 (BOA-MOVADO 2026)]</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4320" w:right="0" w:hanging="0"/>
        <w:jc w:val="left"/>
        <w:rPr>
          <w:caps w:val="false"/>
          <w:smallCaps w:val="false"/>
        </w:rPr>
      </w:pPr>
      <w:r>
        <w:rPr>
          <w:caps w:val="false"/>
          <w:smallCaps w:val="false"/>
        </w:rPr>
        <w:t> </w:t>
      </w:r>
    </w:p>
    <w:tbl>
      <w:tblPr>
        <w:tblW w:w="3424" w:type="dxa"/>
        <w:jc w:val="left"/>
        <w:tblInd w:w="0" w:type="dxa"/>
        <w:tblLayout w:type="fixed"/>
        <w:tblCellMar>
          <w:top w:w="0" w:type="dxa"/>
          <w:left w:w="0" w:type="dxa"/>
          <w:bottom w:w="0" w:type="dxa"/>
          <w:right w:w="0" w:type="dxa"/>
        </w:tblCellMar>
      </w:tblPr>
      <w:tblGrid>
        <w:gridCol w:w="75"/>
        <w:gridCol w:w="744"/>
        <w:gridCol w:w="253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274" w:type="dxa"/>
            <w:gridSpan w:val="2"/>
            <w:tcBorders/>
            <w:vAlign w:val="center"/>
          </w:tcPr>
          <w:p>
            <w:pPr>
              <w:pStyle w:val="TableContents"/>
              <w:bidi w:val="0"/>
              <w:spacing w:before="0" w:after="283"/>
              <w:jc w:val="left"/>
              <w:rPr/>
            </w:pPr>
            <w:r>
              <w:rPr/>
              <w:t>MGI LUXURY GROUP GMBH</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By:</w:t>
            </w:r>
          </w:p>
        </w:tc>
        <w:tc>
          <w:tcPr>
            <w:tcW w:w="2530" w:type="dxa"/>
            <w:tcBorders>
              <w:bottom w:val="single" w:sz="8" w:space="0" w:color="000000"/>
            </w:tcBorders>
            <w:tcMar>
              <w:bottom w:w="28" w:type="dxa"/>
            </w:tcMar>
            <w:vAlign w:val="center"/>
          </w:tcPr>
          <w:p>
            <w:pPr>
              <w:pStyle w:val="TableContents"/>
              <w:bidi w:val="0"/>
              <w:spacing w:before="0" w:after="283"/>
              <w:jc w:val="left"/>
              <w:rPr/>
            </w:pPr>
            <w:r>
              <w:rPr/>
              <w:t>/s/ Sallie A. DeMarsilis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Name:</w:t>
            </w:r>
          </w:p>
        </w:tc>
        <w:tc>
          <w:tcPr>
            <w:tcW w:w="2530" w:type="dxa"/>
            <w:tcBorders/>
            <w:vAlign w:val="center"/>
          </w:tcPr>
          <w:p>
            <w:pPr>
              <w:pStyle w:val="TableContents"/>
              <w:bidi w:val="0"/>
              <w:spacing w:before="0" w:after="283"/>
              <w:jc w:val="left"/>
              <w:rPr/>
            </w:pPr>
            <w:r>
              <w:rPr/>
              <w:t>Sallie A. DeMarsilis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Title:</w:t>
            </w:r>
          </w:p>
        </w:tc>
        <w:tc>
          <w:tcPr>
            <w:tcW w:w="2530"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By:</w:t>
            </w:r>
          </w:p>
        </w:tc>
        <w:tc>
          <w:tcPr>
            <w:tcW w:w="2530" w:type="dxa"/>
            <w:tcBorders>
              <w:bottom w:val="single" w:sz="8" w:space="0" w:color="000000"/>
            </w:tcBorders>
            <w:tcMar>
              <w:bottom w:w="28" w:type="dxa"/>
            </w:tcMar>
            <w:vAlign w:val="center"/>
          </w:tcPr>
          <w:p>
            <w:pPr>
              <w:pStyle w:val="TableContents"/>
              <w:bidi w:val="0"/>
              <w:spacing w:before="0" w:after="283"/>
              <w:jc w:val="left"/>
              <w:rPr/>
            </w:pPr>
            <w:r>
              <w:rPr/>
              <w:t>/s/ Mitchell Sussis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Name:</w:t>
            </w:r>
          </w:p>
        </w:tc>
        <w:tc>
          <w:tcPr>
            <w:tcW w:w="2530" w:type="dxa"/>
            <w:tcBorders/>
            <w:vAlign w:val="center"/>
          </w:tcPr>
          <w:p>
            <w:pPr>
              <w:pStyle w:val="TableContents"/>
              <w:bidi w:val="0"/>
              <w:spacing w:before="0" w:after="283"/>
              <w:jc w:val="left"/>
              <w:rPr/>
            </w:pPr>
            <w:r>
              <w:rPr/>
              <w:t>Mitchell Sussis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Title:</w:t>
            </w:r>
          </w:p>
        </w:tc>
        <w:tc>
          <w:tcPr>
            <w:tcW w:w="253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7 (BOA-MOVADO 2026)]</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19" w:type="dxa"/>
        <w:jc w:val="left"/>
        <w:tblInd w:w="0" w:type="dxa"/>
        <w:tblLayout w:type="fixed"/>
        <w:tblCellMar>
          <w:top w:w="0" w:type="dxa"/>
          <w:left w:w="0" w:type="dxa"/>
          <w:bottom w:w="0" w:type="dxa"/>
          <w:right w:w="0" w:type="dxa"/>
        </w:tblCellMar>
      </w:tblPr>
      <w:tblGrid>
        <w:gridCol w:w="1715"/>
        <w:gridCol w:w="694"/>
        <w:gridCol w:w="2535"/>
        <w:gridCol w:w="75"/>
      </w:tblGrid>
      <w:tr>
        <w:trPr/>
        <w:tc>
          <w:tcPr>
            <w:tcW w:w="1715" w:type="dxa"/>
            <w:tcBorders/>
            <w:vAlign w:val="center"/>
          </w:tcPr>
          <w:p>
            <w:pPr>
              <w:pStyle w:val="TableContents"/>
              <w:bidi w:val="0"/>
              <w:spacing w:before="0" w:after="283"/>
              <w:jc w:val="left"/>
              <w:rPr>
                <w:b/>
                <w:u w:val="single"/>
              </w:rPr>
            </w:pPr>
            <w:r>
              <w:rPr>
                <w:b/>
                <w:u w:val="single"/>
              </w:rPr>
              <w:t>GUARANTOR:</w:t>
            </w:r>
          </w:p>
        </w:tc>
        <w:tc>
          <w:tcPr>
            <w:tcW w:w="322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movado group nederland, B.V.</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By:</w:t>
            </w:r>
          </w:p>
        </w:tc>
        <w:tc>
          <w:tcPr>
            <w:tcW w:w="2535" w:type="dxa"/>
            <w:tcBorders>
              <w:bottom w:val="single" w:sz="8" w:space="0" w:color="000000"/>
            </w:tcBorders>
            <w:tcMar>
              <w:bottom w:w="28" w:type="dxa"/>
            </w:tcMar>
            <w:vAlign w:val="center"/>
          </w:tcPr>
          <w:p>
            <w:pPr>
              <w:pStyle w:val="TableContents"/>
              <w:bidi w:val="0"/>
              <w:spacing w:before="0" w:after="283"/>
              <w:jc w:val="left"/>
              <w:rPr/>
            </w:pPr>
            <w:r>
              <w:rPr/>
              <w:t>/s/ James Edward Halpin</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Name:</w:t>
            </w:r>
          </w:p>
        </w:tc>
        <w:tc>
          <w:tcPr>
            <w:tcW w:w="2535" w:type="dxa"/>
            <w:tcBorders/>
            <w:vAlign w:val="center"/>
          </w:tcPr>
          <w:p>
            <w:pPr>
              <w:pStyle w:val="TableContents"/>
              <w:bidi w:val="0"/>
              <w:spacing w:before="0" w:after="283"/>
              <w:jc w:val="left"/>
              <w:rPr/>
            </w:pPr>
            <w:r>
              <w:rPr/>
              <w:t>James Edward Halpin</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Title:</w:t>
            </w:r>
          </w:p>
        </w:tc>
        <w:tc>
          <w:tcPr>
            <w:tcW w:w="2535" w:type="dxa"/>
            <w:tcBorders/>
            <w:vAlign w:val="center"/>
          </w:tcPr>
          <w:p>
            <w:pPr>
              <w:pStyle w:val="TableContents"/>
              <w:bidi w:val="0"/>
              <w:spacing w:before="0" w:after="283"/>
              <w:jc w:val="left"/>
              <w:rPr/>
            </w:pPr>
            <w:r>
              <w:rPr/>
              <w:t>Director B</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7 (BOA-MOVADO 2026)]</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3245"/>
        <w:gridCol w:w="650"/>
        <w:gridCol w:w="2180"/>
        <w:gridCol w:w="75"/>
      </w:tblGrid>
      <w:tr>
        <w:trPr/>
        <w:tc>
          <w:tcPr>
            <w:tcW w:w="3245" w:type="dxa"/>
            <w:tcBorders/>
            <w:vAlign w:val="center"/>
          </w:tcPr>
          <w:p>
            <w:pPr>
              <w:pStyle w:val="TableContents"/>
              <w:bidi w:val="0"/>
              <w:spacing w:before="0" w:after="283"/>
              <w:jc w:val="left"/>
              <w:rPr>
                <w:b/>
              </w:rPr>
            </w:pPr>
            <w:r>
              <w:rPr>
                <w:b/>
                <w:u w:val="single"/>
              </w:rPr>
              <w:t>ADMINISTRATIVE AGENT</w:t>
            </w:r>
            <w:r>
              <w:rPr>
                <w:b/>
              </w:rPr>
              <w:t>:</w:t>
            </w:r>
          </w:p>
        </w:tc>
        <w:tc>
          <w:tcPr>
            <w:tcW w:w="2830"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180" w:type="dxa"/>
            <w:tcBorders>
              <w:bottom w:val="single" w:sz="8" w:space="0" w:color="000000"/>
            </w:tcBorders>
            <w:tcMar>
              <w:bottom w:w="28" w:type="dxa"/>
            </w:tcMar>
            <w:vAlign w:val="center"/>
          </w:tcPr>
          <w:p>
            <w:pPr>
              <w:pStyle w:val="TableContents"/>
              <w:bidi w:val="0"/>
              <w:spacing w:before="0" w:after="283"/>
              <w:jc w:val="left"/>
              <w:rPr/>
            </w:pPr>
            <w:r>
              <w:rPr/>
              <w:t>/s/ DeWayne D. Rosse</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180" w:type="dxa"/>
            <w:tcBorders/>
            <w:vAlign w:val="center"/>
          </w:tcPr>
          <w:p>
            <w:pPr>
              <w:pStyle w:val="TableContents"/>
              <w:bidi w:val="0"/>
              <w:spacing w:before="0" w:after="283"/>
              <w:jc w:val="left"/>
              <w:rPr/>
            </w:pPr>
            <w:r>
              <w:rPr/>
              <w:t>DeWayne D. Rosse</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180" w:type="dxa"/>
            <w:tcBorders/>
            <w:vAlign w:val="center"/>
          </w:tcPr>
          <w:p>
            <w:pPr>
              <w:pStyle w:val="TableContents"/>
              <w:bidi w:val="0"/>
              <w:spacing w:before="0" w:after="283"/>
              <w:jc w:val="left"/>
              <w:rPr/>
            </w:pPr>
            <w:r>
              <w:rPr/>
              <w:t>Vice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7 (BOA-MOVADO 2026)]</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34" w:type="dxa"/>
        <w:jc w:val="left"/>
        <w:tblInd w:w="0" w:type="dxa"/>
        <w:tblLayout w:type="fixed"/>
        <w:tblCellMar>
          <w:top w:w="0" w:type="dxa"/>
          <w:left w:w="0" w:type="dxa"/>
          <w:bottom w:w="0" w:type="dxa"/>
          <w:right w:w="0" w:type="dxa"/>
        </w:tblCellMar>
      </w:tblPr>
      <w:tblGrid>
        <w:gridCol w:w="1280"/>
        <w:gridCol w:w="877"/>
        <w:gridCol w:w="2802"/>
        <w:gridCol w:w="75"/>
      </w:tblGrid>
      <w:tr>
        <w:trPr/>
        <w:tc>
          <w:tcPr>
            <w:tcW w:w="1280" w:type="dxa"/>
            <w:tcBorders/>
            <w:vAlign w:val="center"/>
          </w:tcPr>
          <w:p>
            <w:pPr>
              <w:pStyle w:val="TableContents"/>
              <w:bidi w:val="0"/>
              <w:spacing w:before="0" w:after="283"/>
              <w:jc w:val="left"/>
              <w:rPr>
                <w:b/>
              </w:rPr>
            </w:pPr>
            <w:r>
              <w:rPr>
                <w:b/>
                <w:u w:val="single"/>
              </w:rPr>
              <w:t>LENDERS</w:t>
            </w:r>
            <w:r>
              <w:rPr>
                <w:b/>
              </w:rPr>
              <w:t>:</w:t>
            </w:r>
          </w:p>
        </w:tc>
        <w:tc>
          <w:tcPr>
            <w:tcW w:w="3679"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 L/C Issuer and Swingline Lender</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By:</w:t>
            </w:r>
          </w:p>
        </w:tc>
        <w:tc>
          <w:tcPr>
            <w:tcW w:w="2802" w:type="dxa"/>
            <w:tcBorders>
              <w:bottom w:val="single" w:sz="8" w:space="0" w:color="000000"/>
            </w:tcBorders>
            <w:tcMar>
              <w:bottom w:w="28" w:type="dxa"/>
            </w:tcMar>
            <w:vAlign w:val="center"/>
          </w:tcPr>
          <w:p>
            <w:pPr>
              <w:pStyle w:val="TableContents"/>
              <w:bidi w:val="0"/>
              <w:spacing w:before="0" w:after="283"/>
              <w:jc w:val="left"/>
              <w:rPr/>
            </w:pPr>
            <w:r>
              <w:rPr/>
              <w:t>/s/ Jana Baker</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Name:</w:t>
            </w:r>
          </w:p>
        </w:tc>
        <w:tc>
          <w:tcPr>
            <w:tcW w:w="2802" w:type="dxa"/>
            <w:tcBorders/>
            <w:vAlign w:val="center"/>
          </w:tcPr>
          <w:p>
            <w:pPr>
              <w:pStyle w:val="TableContents"/>
              <w:bidi w:val="0"/>
              <w:spacing w:before="0" w:after="283"/>
              <w:jc w:val="left"/>
              <w:rPr/>
            </w:pPr>
            <w:r>
              <w:rPr/>
              <w:t>Jana Baker</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pPr>
            <w:r>
              <w:rPr/>
              <w:t>Title:</w:t>
            </w:r>
          </w:p>
        </w:tc>
        <w:tc>
          <w:tcPr>
            <w:tcW w:w="2802" w:type="dxa"/>
            <w:tcBorders/>
            <w:vAlign w:val="center"/>
          </w:tcPr>
          <w:p>
            <w:pPr>
              <w:pStyle w:val="TableContents"/>
              <w:bidi w:val="0"/>
              <w:spacing w:before="0" w:after="283"/>
              <w:jc w:val="left"/>
              <w:rPr/>
            </w:pPr>
            <w:r>
              <w:rPr/>
              <w:t>Senior Vice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7 (BOA-MOVADO 2026)]</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right"/>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Conformed Copy of the Credit Agreement to incorporate amendments in redline form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Final</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sz w:val="20"/>
        </w:rPr>
      </w:pPr>
      <w:r>
        <w:rPr>
          <w:rFonts w:ascii="Times New Roman;Times;Serif" w:hAnsi="Times New Roman;Times;Serif"/>
          <w:b w:val="false"/>
          <w:i w:val="false"/>
          <w:caps/>
          <w:sz w:val="20"/>
        </w:rPr>
        <w:t>CONFORMED TO INCLUDE:</w:t>
      </w:r>
    </w:p>
    <w:p>
      <w:pPr>
        <w:pStyle w:val="TextBody"/>
        <w:bidi w:val="0"/>
        <w:jc w:val="right"/>
        <w:rPr>
          <w:rFonts w:ascii="Times New Roman;Times;Serif" w:hAnsi="Times New Roman;Times;Serif"/>
          <w:b w:val="false"/>
          <w:i w:val="false"/>
          <w:caps/>
          <w:sz w:val="20"/>
        </w:rPr>
      </w:pPr>
      <w:r>
        <w:rPr>
          <w:rFonts w:ascii="Times New Roman;Times;Serif" w:hAnsi="Times New Roman;Times;Serif"/>
          <w:b w:val="false"/>
          <w:i w:val="false"/>
          <w:caps/>
          <w:sz w:val="20"/>
        </w:rPr>
        <w:t>JOINDER AND AMENDMENT NO. 1 TO CREDIT AGREEMENT, DATED AS OF NOVEMBER 1, 2019,</w:t>
        <w:br/>
        <w:t xml:space="preserve">AMENDMENT NO. 2 TO CREDIT AGREEMENT, DATED JUNE 5, 2020 </w:t>
      </w:r>
    </w:p>
    <w:p>
      <w:pPr>
        <w:pStyle w:val="TextBody"/>
        <w:bidi w:val="0"/>
        <w:jc w:val="right"/>
        <w:rPr>
          <w:rFonts w:ascii="Times New Roman;Times;Serif" w:hAnsi="Times New Roman;Times;Serif"/>
          <w:b w:val="false"/>
          <w:i w:val="false"/>
          <w:caps/>
          <w:sz w:val="20"/>
        </w:rPr>
      </w:pPr>
      <w:r>
        <w:rPr>
          <w:rFonts w:ascii="Times New Roman;Times;Serif" w:hAnsi="Times New Roman;Times;Serif"/>
          <w:b w:val="false"/>
          <w:i w:val="false"/>
          <w:caps/>
          <w:sz w:val="20"/>
        </w:rPr>
        <w:t>AMENDMENT NO. 3 TO CREDIT AGREEMENT, DATED OCTOBER 28, 2021,</w:t>
      </w:r>
    </w:p>
    <w:p>
      <w:pPr>
        <w:pStyle w:val="TextBody"/>
        <w:bidi w:val="0"/>
        <w:jc w:val="right"/>
        <w:rPr>
          <w:rFonts w:ascii="Times New Roman;Times;Serif" w:hAnsi="Times New Roman;Times;Serif"/>
          <w:b w:val="false"/>
          <w:i w:val="false"/>
          <w:caps/>
          <w:sz w:val="20"/>
        </w:rPr>
      </w:pPr>
      <w:r>
        <w:rPr>
          <w:rFonts w:ascii="Times New Roman;Times;Serif" w:hAnsi="Times New Roman;Times;Serif"/>
          <w:b w:val="false"/>
          <w:i w:val="false"/>
          <w:caps/>
          <w:sz w:val="20"/>
        </w:rPr>
        <w:t xml:space="preserve">AMENDMENT NO. 4 TO CREDIT AGREEMENT, DATED AUGUST 2, 2022, </w:t>
      </w:r>
    </w:p>
    <w:p>
      <w:pPr>
        <w:pStyle w:val="TextBody"/>
        <w:bidi w:val="0"/>
        <w:jc w:val="right"/>
        <w:rPr>
          <w:rFonts w:ascii="Times New Roman;Times;Serif" w:hAnsi="Times New Roman;Times;Serif"/>
          <w:b w:val="false"/>
          <w:i w:val="false"/>
          <w:caps/>
          <w:sz w:val="20"/>
        </w:rPr>
      </w:pPr>
      <w:r>
        <w:rPr>
          <w:rFonts w:ascii="Times New Roman;Times;Serif" w:hAnsi="Times New Roman;Times;Serif"/>
          <w:b w:val="false"/>
          <w:i w:val="false"/>
          <w:caps/>
          <w:sz w:val="20"/>
        </w:rPr>
        <w:t xml:space="preserve">AMENDMENT NO. 5 TO CREDIT AGREEMENT, DATED JANUARY 30, 2024, </w:t>
      </w:r>
      <w:r>
        <w:rPr>
          <w:rFonts w:ascii="Times New Roman;Times;Serif" w:hAnsi="Times New Roman;Times;Serif"/>
          <w:b w:val="false"/>
          <w:i w:val="false"/>
          <w:caps/>
          <w:strike/>
          <w:color w:val="FF0000"/>
          <w:sz w:val="20"/>
        </w:rPr>
        <w:t>and</w:t>
      </w:r>
    </w:p>
    <w:p>
      <w:pPr>
        <w:pStyle w:val="TextBody"/>
        <w:bidi w:val="0"/>
        <w:jc w:val="right"/>
        <w:rPr>
          <w:rFonts w:ascii="Times New Roman;Times;Serif" w:hAnsi="Times New Roman;Times;Serif"/>
          <w:b w:val="false"/>
          <w:i w:val="false"/>
          <w:caps/>
          <w:sz w:val="20"/>
        </w:rPr>
      </w:pPr>
      <w:r>
        <w:rPr>
          <w:rFonts w:ascii="Times New Roman;Times;Serif" w:hAnsi="Times New Roman;Times;Serif"/>
          <w:b w:val="false"/>
          <w:i w:val="false"/>
          <w:caps/>
          <w:sz w:val="20"/>
        </w:rPr>
        <w:t>AMENDMENT NO. 6 TO CREDIT AGREEMENT, DATED MAY 15, 2024</w:t>
      </w:r>
      <w:r>
        <w:rPr>
          <w:rFonts w:ascii="Times New Roman;Times;Serif" w:hAnsi="Times New Roman;Times;Serif"/>
          <w:b w:val="false"/>
          <w:i w:val="false"/>
          <w:caps/>
          <w:color w:val="0000FF"/>
          <w:sz w:val="20"/>
          <w:u w:val="single"/>
        </w:rPr>
        <w:t>, and</w:t>
      </w:r>
    </w:p>
    <w:p>
      <w:pPr>
        <w:pStyle w:val="TextBody"/>
        <w:bidi w:val="0"/>
        <w:jc w:val="right"/>
        <w:rPr>
          <w:rFonts w:ascii="Times New Roman;Times;Serif" w:hAnsi="Times New Roman;Times;Serif"/>
          <w:b w:val="false"/>
          <w:i w:val="false"/>
          <w:caps/>
          <w:color w:val="0000FF"/>
          <w:sz w:val="20"/>
          <w:u w:val="single"/>
        </w:rPr>
      </w:pPr>
      <w:r>
        <w:rPr>
          <w:rFonts w:ascii="Times New Roman;Times;Serif" w:hAnsi="Times New Roman;Times;Serif"/>
          <w:b w:val="false"/>
          <w:i w:val="false"/>
          <w:caps/>
          <w:color w:val="0000FF"/>
          <w:sz w:val="20"/>
          <w:u w:val="single"/>
        </w:rPr>
        <w:t>AMENDMENT NO. 7 TO CREDIT AGREEMENT, DATED JULY 16, 2026</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28" w:space="1" w:color="000000"/>
        </w:rPr>
      </w:pPr>
      <w:r>
        <w:rPr>
          <w:bdr w:val="single" w:sz="28" w:space="1" w:color="000000"/>
        </w:rPr>
        <w:t> </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CUSIP Number: 62458DAE8 - Deal</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CUSIP Number: 62458DAF5 - Rev</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CREDIT AGREEMENT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12, 2018</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jc w:val="center"/>
        <w:rPr>
          <w:caps w:val="false"/>
          <w:smallCaps w:val="false"/>
        </w:rPr>
      </w:pPr>
      <w:r>
        <w:rPr>
          <w:caps w:val="false"/>
          <w:smallCaps w:val="false"/>
        </w:rPr>
        <w:t> </w:t>
      </w:r>
    </w:p>
    <w:p>
      <w:pPr>
        <w:pStyle w:val="TextBody"/>
        <w:bidi w:val="0"/>
        <w:spacing w:before="0" w:after="6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 xml:space="preserve">MOVADO GROUP, INC., </w:t>
      </w:r>
    </w:p>
    <w:p>
      <w:pPr>
        <w:pStyle w:val="TextBody"/>
        <w:bidi w:val="0"/>
        <w:spacing w:before="0" w:after="6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 xml:space="preserve">MOVADO GROUP DELAWARE HOLDINGS CORPORATION, </w:t>
      </w:r>
    </w:p>
    <w:p>
      <w:pPr>
        <w:pStyle w:val="TextBody"/>
        <w:bidi w:val="0"/>
        <w:jc w:val="left"/>
        <w:rPr>
          <w:b w:val="false"/>
          <w:i w:val="false"/>
          <w:smallCaps/>
          <w:sz w:val="20"/>
        </w:rPr>
      </w:pPr>
      <w:r>
        <w:rPr>
          <w:b w:val="false"/>
          <w:i w:val="false"/>
          <w:smallCaps/>
          <w:sz w:val="20"/>
        </w:rPr>
        <w:t xml:space="preserve">MOVADO LLC, </w:t>
      </w:r>
    </w:p>
    <w:p>
      <w:pPr>
        <w:pStyle w:val="TextBody"/>
        <w:bidi w:val="0"/>
        <w:spacing w:before="0" w:after="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MOVADO RETAIL GROUP, INC.,</w:t>
      </w:r>
      <w:r>
        <w:rPr>
          <w:rFonts w:ascii="Times New Roman;Times;Serif" w:hAnsi="Times New Roman;Times;Serif"/>
          <w:b w:val="false"/>
          <w:i w:val="false"/>
          <w:caps w:val="false"/>
          <w:smallCaps w:val="false"/>
          <w:sz w:val="20"/>
        </w:rPr>
        <w:t xml:space="preserve"> and</w:t>
      </w:r>
    </w:p>
    <w:p>
      <w:pPr>
        <w:pStyle w:val="TextBody"/>
        <w:bidi w:val="0"/>
        <w:spacing w:before="0" w:after="60"/>
        <w:jc w:val="center"/>
        <w:rPr>
          <w:rFonts w:ascii="Times New Roman;Times;Serif" w:hAnsi="Times New Roman;Times;Serif"/>
          <w:b w:val="false"/>
          <w:i w:val="false"/>
          <w:caps/>
          <w:sz w:val="20"/>
        </w:rPr>
      </w:pPr>
      <w:r>
        <w:rPr>
          <w:rFonts w:ascii="Times New Roman;Times;Serif" w:hAnsi="Times New Roman;Times;Serif"/>
          <w:b w:val="false"/>
          <w:i w:val="false"/>
          <w:caps/>
          <w:sz w:val="20"/>
        </w:rPr>
        <w:t>MGI Luxury GROUP gmbh,</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Borrowers,</w:t>
      </w:r>
    </w:p>
    <w:p>
      <w:pPr>
        <w:pStyle w:val="TextBody"/>
        <w:bidi w:val="0"/>
        <w:spacing w:before="240" w:after="6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SUBSIDIARIES OF THE BORROWERS PARTY HERETO,</w:t>
      </w:r>
    </w:p>
    <w:p>
      <w:pPr>
        <w:pStyle w:val="TextBody"/>
        <w:bidi w:val="0"/>
        <w:spacing w:before="0" w:after="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Guarantors,</w:t>
      </w:r>
    </w:p>
    <w:p>
      <w:pPr>
        <w:pStyle w:val="TextBody"/>
        <w:bidi w:val="0"/>
        <w:jc w:val="center"/>
        <w:rPr>
          <w:caps w:val="false"/>
          <w:smallCaps w:val="false"/>
        </w:rPr>
      </w:pPr>
      <w:r>
        <w:rPr>
          <w:caps w:val="false"/>
          <w:smallCaps w:val="false"/>
        </w:rPr>
        <w:t> </w:t>
      </w:r>
    </w:p>
    <w:p>
      <w:pPr>
        <w:pStyle w:val="TextBody"/>
        <w:bidi w:val="0"/>
        <w:spacing w:before="0" w:after="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Swingline Lender and</w:t>
      </w:r>
    </w:p>
    <w:p>
      <w:pPr>
        <w:pStyle w:val="TextBody"/>
        <w:bidi w:val="0"/>
        <w:spacing w:before="0" w:after="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 Issuer,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and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Sole Lead Arranger and Sole Bookrunner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and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color w:val="FF0000"/>
        </w:rPr>
      </w:pPr>
      <w:r>
        <w:rPr>
          <w:caps w:val="false"/>
          <w:smallCaps w:val="false"/>
          <w:color w:val="FF0000"/>
        </w:rPr>
        <w:t> </w:t>
      </w:r>
    </w:p>
    <w:p>
      <w:pPr>
        <w:pStyle w:val="TextBody"/>
        <w:bidi w:val="0"/>
        <w:jc w:val="right"/>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Final</w:t>
      </w:r>
    </w:p>
    <w:p>
      <w:pPr>
        <w:pStyle w:val="TextBody"/>
        <w:bidi w:val="0"/>
        <w:jc w:val="center"/>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PNC BANK, NATIONAL ASSOCIATION,</w:t>
        <w:br/>
        <w:t>as Syndication Agent</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28" w:space="1" w:color="000000"/>
        </w:rPr>
      </w:pPr>
      <w:r>
        <w:rPr>
          <w:bdr w:val="single" w:sz="2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center"/>
        <w:rPr>
          <w:caps w:val="false"/>
          <w:smallCaps w:val="false"/>
        </w:rPr>
      </w:pPr>
      <w:r>
        <w:rPr>
          <w:caps w:val="false"/>
          <w:smallCaps w:val="false"/>
        </w:rPr>
        <w:t> </w:t>
      </w:r>
    </w:p>
    <w:p>
      <w:pPr>
        <w:pStyle w:val="TextBody"/>
        <w:bidi w:val="0"/>
        <w:spacing w:before="0" w:after="6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bl>
      <w:tblPr>
        <w:tblW w:w="7245" w:type="dxa"/>
        <w:jc w:val="left"/>
        <w:tblInd w:w="0" w:type="dxa"/>
        <w:tblLayout w:type="fixed"/>
        <w:tblCellMar>
          <w:top w:w="0" w:type="dxa"/>
          <w:left w:w="0" w:type="dxa"/>
          <w:bottom w:w="0" w:type="dxa"/>
          <w:right w:w="0" w:type="dxa"/>
        </w:tblCellMar>
      </w:tblPr>
      <w:tblGrid>
        <w:gridCol w:w="395"/>
        <w:gridCol w:w="6395"/>
        <w:gridCol w:w="455"/>
      </w:tblGrid>
      <w:tr>
        <w:trPr/>
        <w:tc>
          <w:tcPr>
            <w:tcW w:w="6790" w:type="dxa"/>
            <w:gridSpan w:val="2"/>
            <w:tcBorders/>
            <w:shd w:fill="C6F4F9" w:val="clear"/>
            <w:vAlign w:val="center"/>
          </w:tcPr>
          <w:p>
            <w:pPr>
              <w:pStyle w:val="TableContents"/>
              <w:bidi w:val="0"/>
              <w:spacing w:before="0" w:after="283"/>
              <w:jc w:val="left"/>
              <w:rPr/>
            </w:pPr>
            <w:r>
              <w:rPr>
                <w:caps/>
                <w:sz w:val="20"/>
              </w:rPr>
              <w:t>Article I DEFINITIONS AND ACCOUNTING TERMS</w:t>
            </w:r>
            <w:r>
              <w:rPr/>
              <w:t xml:space="preserve"> </w:t>
            </w:r>
          </w:p>
        </w:tc>
        <w:tc>
          <w:tcPr>
            <w:tcW w:w="455" w:type="dxa"/>
            <w:tcBorders/>
            <w:shd w:fill="C6F4F9" w:val="clear"/>
            <w:vAlign w:val="center"/>
          </w:tcPr>
          <w:p>
            <w:pPr>
              <w:pStyle w:val="TableContents"/>
              <w:bidi w:val="0"/>
              <w:spacing w:before="0" w:after="283"/>
              <w:jc w:val="right"/>
              <w:rPr/>
            </w:pPr>
            <w:r>
              <w:rPr/>
              <w:t>6</w:t>
            </w:r>
          </w:p>
        </w:tc>
      </w:tr>
      <w:tr>
        <w:trPr/>
        <w:tc>
          <w:tcPr>
            <w:tcW w:w="6790" w:type="dxa"/>
            <w:gridSpan w:val="2"/>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395" w:type="dxa"/>
            <w:tcBorders/>
            <w:shd w:fill="C6F4F9" w:val="clear"/>
            <w:vAlign w:val="center"/>
          </w:tcPr>
          <w:p>
            <w:pPr>
              <w:pStyle w:val="TableContents"/>
              <w:bidi w:val="0"/>
              <w:spacing w:before="0" w:after="283"/>
              <w:jc w:val="left"/>
              <w:rPr>
                <w:sz w:val="20"/>
              </w:rPr>
            </w:pPr>
            <w:r>
              <w:rPr>
                <w:sz w:val="20"/>
              </w:rPr>
              <w:t>1.01</w:t>
            </w:r>
          </w:p>
        </w:tc>
        <w:tc>
          <w:tcPr>
            <w:tcW w:w="6395" w:type="dxa"/>
            <w:tcBorders/>
            <w:shd w:fill="C6F4F9" w:val="clear"/>
            <w:vAlign w:val="center"/>
          </w:tcPr>
          <w:p>
            <w:pPr>
              <w:pStyle w:val="TableContents"/>
              <w:bidi w:val="0"/>
              <w:spacing w:before="0" w:after="283"/>
              <w:jc w:val="left"/>
              <w:rPr>
                <w:sz w:val="20"/>
              </w:rPr>
            </w:pPr>
            <w:r>
              <w:rPr>
                <w:sz w:val="20"/>
              </w:rPr>
              <w:t>Defined Terms</w:t>
            </w:r>
          </w:p>
        </w:tc>
        <w:tc>
          <w:tcPr>
            <w:tcW w:w="455" w:type="dxa"/>
            <w:tcBorders/>
            <w:shd w:fill="C6F4F9" w:val="clear"/>
            <w:vAlign w:val="center"/>
          </w:tcPr>
          <w:p>
            <w:pPr>
              <w:pStyle w:val="TableContents"/>
              <w:bidi w:val="0"/>
              <w:spacing w:before="0" w:after="283"/>
              <w:jc w:val="right"/>
              <w:rPr>
                <w:sz w:val="20"/>
              </w:rPr>
            </w:pPr>
            <w:r>
              <w:rPr>
                <w:sz w:val="20"/>
              </w:rPr>
              <w:t>6</w:t>
            </w:r>
          </w:p>
        </w:tc>
      </w:tr>
      <w:tr>
        <w:trPr/>
        <w:tc>
          <w:tcPr>
            <w:tcW w:w="395" w:type="dxa"/>
            <w:tcBorders/>
            <w:shd w:fill="FFFFFF" w:val="clear"/>
            <w:vAlign w:val="center"/>
          </w:tcPr>
          <w:p>
            <w:pPr>
              <w:pStyle w:val="TableContents"/>
              <w:bidi w:val="0"/>
              <w:spacing w:before="0" w:after="283"/>
              <w:jc w:val="left"/>
              <w:rPr>
                <w:sz w:val="20"/>
              </w:rPr>
            </w:pPr>
            <w:r>
              <w:rPr>
                <w:sz w:val="20"/>
              </w:rPr>
              <w:t>1.02</w:t>
            </w:r>
          </w:p>
        </w:tc>
        <w:tc>
          <w:tcPr>
            <w:tcW w:w="6395" w:type="dxa"/>
            <w:tcBorders/>
            <w:shd w:fill="FFFFFF" w:val="clear"/>
            <w:vAlign w:val="center"/>
          </w:tcPr>
          <w:p>
            <w:pPr>
              <w:pStyle w:val="TableContents"/>
              <w:bidi w:val="0"/>
              <w:spacing w:before="0" w:after="283"/>
              <w:jc w:val="left"/>
              <w:rPr>
                <w:sz w:val="20"/>
              </w:rPr>
            </w:pPr>
            <w:r>
              <w:rPr>
                <w:sz w:val="20"/>
              </w:rPr>
              <w:t>Other Interpretive Provisions</w:t>
            </w:r>
          </w:p>
        </w:tc>
        <w:tc>
          <w:tcPr>
            <w:tcW w:w="455" w:type="dxa"/>
            <w:tcBorders/>
            <w:shd w:fill="FFFFFF" w:val="clear"/>
            <w:vAlign w:val="center"/>
          </w:tcPr>
          <w:p>
            <w:pPr>
              <w:pStyle w:val="TableContents"/>
              <w:bidi w:val="0"/>
              <w:spacing w:before="0" w:after="283"/>
              <w:jc w:val="right"/>
              <w:rPr>
                <w:sz w:val="20"/>
              </w:rPr>
            </w:pPr>
            <w:r>
              <w:rPr>
                <w:sz w:val="20"/>
              </w:rPr>
              <w:t>48</w:t>
            </w:r>
          </w:p>
        </w:tc>
      </w:tr>
      <w:tr>
        <w:trPr/>
        <w:tc>
          <w:tcPr>
            <w:tcW w:w="395" w:type="dxa"/>
            <w:tcBorders/>
            <w:shd w:fill="C6F4F9" w:val="clear"/>
            <w:vAlign w:val="center"/>
          </w:tcPr>
          <w:p>
            <w:pPr>
              <w:pStyle w:val="TableContents"/>
              <w:bidi w:val="0"/>
              <w:spacing w:before="0" w:after="283"/>
              <w:jc w:val="left"/>
              <w:rPr>
                <w:sz w:val="20"/>
              </w:rPr>
            </w:pPr>
            <w:r>
              <w:rPr>
                <w:sz w:val="20"/>
              </w:rPr>
              <w:t>1.03</w:t>
            </w:r>
          </w:p>
        </w:tc>
        <w:tc>
          <w:tcPr>
            <w:tcW w:w="6395" w:type="dxa"/>
            <w:tcBorders/>
            <w:shd w:fill="C6F4F9" w:val="clear"/>
            <w:vAlign w:val="center"/>
          </w:tcPr>
          <w:p>
            <w:pPr>
              <w:pStyle w:val="TableContents"/>
              <w:bidi w:val="0"/>
              <w:spacing w:before="0" w:after="283"/>
              <w:jc w:val="left"/>
              <w:rPr>
                <w:sz w:val="20"/>
              </w:rPr>
            </w:pPr>
            <w:r>
              <w:rPr>
                <w:sz w:val="20"/>
              </w:rPr>
              <w:t>Accounting Terms</w:t>
            </w:r>
          </w:p>
        </w:tc>
        <w:tc>
          <w:tcPr>
            <w:tcW w:w="455" w:type="dxa"/>
            <w:tcBorders/>
            <w:shd w:fill="C6F4F9" w:val="clear"/>
            <w:vAlign w:val="center"/>
          </w:tcPr>
          <w:p>
            <w:pPr>
              <w:pStyle w:val="TableContents"/>
              <w:bidi w:val="0"/>
              <w:spacing w:before="0" w:after="283"/>
              <w:jc w:val="right"/>
              <w:rPr>
                <w:sz w:val="20"/>
              </w:rPr>
            </w:pPr>
            <w:r>
              <w:rPr>
                <w:sz w:val="20"/>
              </w:rPr>
              <w:t>50</w:t>
            </w:r>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395" w:type="dxa"/>
            <w:tcBorders/>
            <w:shd w:fill="FFFFFF" w:val="clear"/>
            <w:vAlign w:val="center"/>
          </w:tcPr>
          <w:p>
            <w:pPr>
              <w:pStyle w:val="TableContents"/>
              <w:bidi w:val="0"/>
              <w:spacing w:before="0" w:after="283"/>
              <w:jc w:val="left"/>
              <w:rPr>
                <w:sz w:val="20"/>
              </w:rPr>
            </w:pPr>
            <w:r>
              <w:rPr>
                <w:sz w:val="20"/>
              </w:rPr>
              <w:t>Rounding</w:t>
            </w:r>
          </w:p>
        </w:tc>
        <w:tc>
          <w:tcPr>
            <w:tcW w:w="455" w:type="dxa"/>
            <w:tcBorders/>
            <w:shd w:fill="FFFFFF" w:val="clear"/>
            <w:vAlign w:val="center"/>
          </w:tcPr>
          <w:p>
            <w:pPr>
              <w:pStyle w:val="TableContents"/>
              <w:bidi w:val="0"/>
              <w:spacing w:before="0" w:after="283"/>
              <w:jc w:val="right"/>
              <w:rPr/>
            </w:pPr>
            <w:r>
              <w:rPr>
                <w:strike/>
                <w:color w:val="FF0000"/>
                <w:sz w:val="20"/>
              </w:rPr>
              <w:t>51</w:t>
            </w:r>
            <w:r>
              <w:rPr>
                <w:color w:val="0000FF"/>
                <w:sz w:val="20"/>
                <w:u w:val="single"/>
              </w:rPr>
              <w:t>50</w:t>
            </w:r>
          </w:p>
        </w:tc>
      </w:tr>
      <w:tr>
        <w:trPr/>
        <w:tc>
          <w:tcPr>
            <w:tcW w:w="395" w:type="dxa"/>
            <w:tcBorders/>
            <w:shd w:fill="C6F4F9" w:val="clear"/>
            <w:vAlign w:val="center"/>
          </w:tcPr>
          <w:p>
            <w:pPr>
              <w:pStyle w:val="TableContents"/>
              <w:bidi w:val="0"/>
              <w:spacing w:before="0" w:after="283"/>
              <w:jc w:val="left"/>
              <w:rPr>
                <w:sz w:val="20"/>
              </w:rPr>
            </w:pPr>
            <w:r>
              <w:rPr>
                <w:sz w:val="20"/>
              </w:rPr>
              <w:t>1.05</w:t>
            </w:r>
          </w:p>
        </w:tc>
        <w:tc>
          <w:tcPr>
            <w:tcW w:w="6395" w:type="dxa"/>
            <w:tcBorders/>
            <w:shd w:fill="C6F4F9" w:val="clear"/>
            <w:vAlign w:val="center"/>
          </w:tcPr>
          <w:p>
            <w:pPr>
              <w:pStyle w:val="TableContents"/>
              <w:bidi w:val="0"/>
              <w:spacing w:before="0" w:after="283"/>
              <w:jc w:val="left"/>
              <w:rPr>
                <w:sz w:val="20"/>
              </w:rPr>
            </w:pPr>
            <w:r>
              <w:rPr>
                <w:sz w:val="20"/>
              </w:rPr>
              <w:t>Times of Day</w:t>
            </w:r>
          </w:p>
        </w:tc>
        <w:tc>
          <w:tcPr>
            <w:tcW w:w="455" w:type="dxa"/>
            <w:tcBorders/>
            <w:shd w:fill="C6F4F9" w:val="clear"/>
            <w:vAlign w:val="center"/>
          </w:tcPr>
          <w:p>
            <w:pPr>
              <w:pStyle w:val="TableContents"/>
              <w:bidi w:val="0"/>
              <w:spacing w:before="0" w:after="283"/>
              <w:jc w:val="right"/>
              <w:rPr/>
            </w:pPr>
            <w:r>
              <w:rPr>
                <w:strike/>
                <w:color w:val="FF0000"/>
                <w:sz w:val="20"/>
              </w:rPr>
              <w:t>51</w:t>
            </w:r>
            <w:r>
              <w:rPr>
                <w:color w:val="0000FF"/>
                <w:sz w:val="20"/>
                <w:u w:val="single"/>
              </w:rPr>
              <w:t>50</w:t>
            </w:r>
          </w:p>
        </w:tc>
      </w:tr>
      <w:tr>
        <w:trPr/>
        <w:tc>
          <w:tcPr>
            <w:tcW w:w="395" w:type="dxa"/>
            <w:tcBorders/>
            <w:shd w:fill="FFFFFF" w:val="clear"/>
            <w:vAlign w:val="center"/>
          </w:tcPr>
          <w:p>
            <w:pPr>
              <w:pStyle w:val="TableContents"/>
              <w:bidi w:val="0"/>
              <w:spacing w:before="0" w:after="283"/>
              <w:jc w:val="left"/>
              <w:rPr>
                <w:sz w:val="20"/>
              </w:rPr>
            </w:pPr>
            <w:r>
              <w:rPr>
                <w:sz w:val="20"/>
              </w:rPr>
              <w:t>1.06</w:t>
            </w:r>
          </w:p>
        </w:tc>
        <w:tc>
          <w:tcPr>
            <w:tcW w:w="6395" w:type="dxa"/>
            <w:tcBorders/>
            <w:shd w:fill="FFFFFF" w:val="clear"/>
            <w:vAlign w:val="center"/>
          </w:tcPr>
          <w:p>
            <w:pPr>
              <w:pStyle w:val="TableContents"/>
              <w:bidi w:val="0"/>
              <w:spacing w:before="0" w:after="283"/>
              <w:jc w:val="left"/>
              <w:rPr>
                <w:sz w:val="20"/>
              </w:rPr>
            </w:pPr>
            <w:r>
              <w:rPr>
                <w:sz w:val="20"/>
              </w:rPr>
              <w:t>Letter of Credit Amounts</w:t>
            </w:r>
          </w:p>
        </w:tc>
        <w:tc>
          <w:tcPr>
            <w:tcW w:w="455" w:type="dxa"/>
            <w:tcBorders/>
            <w:shd w:fill="FFFFFF" w:val="clear"/>
            <w:vAlign w:val="center"/>
          </w:tcPr>
          <w:p>
            <w:pPr>
              <w:pStyle w:val="TableContents"/>
              <w:bidi w:val="0"/>
              <w:spacing w:before="0" w:after="283"/>
              <w:jc w:val="right"/>
              <w:rPr/>
            </w:pPr>
            <w:r>
              <w:rPr>
                <w:strike/>
                <w:color w:val="FF0000"/>
                <w:sz w:val="20"/>
              </w:rPr>
              <w:t>51</w:t>
            </w:r>
            <w:r>
              <w:rPr>
                <w:color w:val="0000FF"/>
                <w:sz w:val="20"/>
                <w:u w:val="single"/>
              </w:rPr>
              <w:t>50</w:t>
            </w:r>
          </w:p>
        </w:tc>
      </w:tr>
      <w:tr>
        <w:trPr/>
        <w:tc>
          <w:tcPr>
            <w:tcW w:w="395" w:type="dxa"/>
            <w:tcBorders/>
            <w:shd w:fill="C6F4F9" w:val="clear"/>
            <w:vAlign w:val="center"/>
          </w:tcPr>
          <w:p>
            <w:pPr>
              <w:pStyle w:val="TableContents"/>
              <w:bidi w:val="0"/>
              <w:spacing w:before="0" w:after="283"/>
              <w:jc w:val="left"/>
              <w:rPr>
                <w:sz w:val="20"/>
              </w:rPr>
            </w:pPr>
            <w:r>
              <w:rPr>
                <w:sz w:val="20"/>
              </w:rPr>
              <w:t>1.07</w:t>
            </w:r>
          </w:p>
        </w:tc>
        <w:tc>
          <w:tcPr>
            <w:tcW w:w="6395" w:type="dxa"/>
            <w:tcBorders/>
            <w:shd w:fill="C6F4F9" w:val="clear"/>
            <w:vAlign w:val="center"/>
          </w:tcPr>
          <w:p>
            <w:pPr>
              <w:pStyle w:val="TableContents"/>
              <w:bidi w:val="0"/>
              <w:spacing w:before="0" w:after="283"/>
              <w:jc w:val="left"/>
              <w:rPr>
                <w:sz w:val="20"/>
              </w:rPr>
            </w:pPr>
            <w:r>
              <w:rPr>
                <w:sz w:val="20"/>
              </w:rPr>
              <w:t>UCC Terms</w:t>
            </w:r>
          </w:p>
        </w:tc>
        <w:tc>
          <w:tcPr>
            <w:tcW w:w="455" w:type="dxa"/>
            <w:tcBorders/>
            <w:shd w:fill="C6F4F9" w:val="clear"/>
            <w:vAlign w:val="center"/>
          </w:tcPr>
          <w:p>
            <w:pPr>
              <w:pStyle w:val="TableContents"/>
              <w:bidi w:val="0"/>
              <w:spacing w:before="0" w:after="283"/>
              <w:jc w:val="right"/>
              <w:rPr>
                <w:sz w:val="20"/>
              </w:rPr>
            </w:pPr>
            <w:r>
              <w:rPr>
                <w:sz w:val="20"/>
              </w:rPr>
              <w:t>51</w:t>
            </w:r>
          </w:p>
        </w:tc>
      </w:tr>
      <w:tr>
        <w:trPr/>
        <w:tc>
          <w:tcPr>
            <w:tcW w:w="395" w:type="dxa"/>
            <w:tcBorders/>
            <w:shd w:fill="FFFFFF" w:val="clear"/>
            <w:vAlign w:val="center"/>
          </w:tcPr>
          <w:p>
            <w:pPr>
              <w:pStyle w:val="TableContents"/>
              <w:bidi w:val="0"/>
              <w:spacing w:before="0" w:after="283"/>
              <w:jc w:val="left"/>
              <w:rPr>
                <w:sz w:val="20"/>
              </w:rPr>
            </w:pPr>
            <w:r>
              <w:rPr>
                <w:sz w:val="20"/>
              </w:rPr>
              <w:t>1.08</w:t>
            </w:r>
          </w:p>
        </w:tc>
        <w:tc>
          <w:tcPr>
            <w:tcW w:w="6395" w:type="dxa"/>
            <w:tcBorders/>
            <w:shd w:fill="FFFFFF" w:val="clear"/>
            <w:vAlign w:val="center"/>
          </w:tcPr>
          <w:p>
            <w:pPr>
              <w:pStyle w:val="TableContents"/>
              <w:bidi w:val="0"/>
              <w:spacing w:before="0" w:after="283"/>
              <w:jc w:val="left"/>
              <w:rPr>
                <w:sz w:val="20"/>
              </w:rPr>
            </w:pPr>
            <w:r>
              <w:rPr>
                <w:sz w:val="20"/>
              </w:rPr>
              <w:t>Currency Equivalents; Exchange Rates</w:t>
            </w:r>
          </w:p>
        </w:tc>
        <w:tc>
          <w:tcPr>
            <w:tcW w:w="455" w:type="dxa"/>
            <w:tcBorders/>
            <w:shd w:fill="FFFFFF" w:val="clear"/>
            <w:vAlign w:val="center"/>
          </w:tcPr>
          <w:p>
            <w:pPr>
              <w:pStyle w:val="TableContents"/>
              <w:bidi w:val="0"/>
              <w:spacing w:before="0" w:after="283"/>
              <w:jc w:val="right"/>
              <w:rPr>
                <w:sz w:val="20"/>
              </w:rPr>
            </w:pPr>
            <w:r>
              <w:rPr>
                <w:sz w:val="20"/>
              </w:rPr>
              <w:t>51</w:t>
            </w:r>
          </w:p>
        </w:tc>
      </w:tr>
      <w:tr>
        <w:trPr/>
        <w:tc>
          <w:tcPr>
            <w:tcW w:w="395" w:type="dxa"/>
            <w:tcBorders/>
            <w:shd w:fill="C6F4F9" w:val="clear"/>
            <w:vAlign w:val="center"/>
          </w:tcPr>
          <w:p>
            <w:pPr>
              <w:pStyle w:val="TableContents"/>
              <w:bidi w:val="0"/>
              <w:spacing w:before="0" w:after="283"/>
              <w:jc w:val="left"/>
              <w:rPr>
                <w:sz w:val="20"/>
              </w:rPr>
            </w:pPr>
            <w:r>
              <w:rPr>
                <w:sz w:val="20"/>
              </w:rPr>
              <w:t>1.09</w:t>
            </w:r>
          </w:p>
        </w:tc>
        <w:tc>
          <w:tcPr>
            <w:tcW w:w="6395" w:type="dxa"/>
            <w:tcBorders/>
            <w:shd w:fill="C6F4F9" w:val="clear"/>
            <w:vAlign w:val="center"/>
          </w:tcPr>
          <w:p>
            <w:pPr>
              <w:pStyle w:val="TableContents"/>
              <w:bidi w:val="0"/>
              <w:spacing w:before="0" w:after="283"/>
              <w:jc w:val="left"/>
              <w:rPr>
                <w:sz w:val="20"/>
              </w:rPr>
            </w:pPr>
            <w:r>
              <w:rPr>
                <w:sz w:val="20"/>
              </w:rPr>
              <w:t>Additional Alternative Currencies</w:t>
            </w:r>
          </w:p>
        </w:tc>
        <w:tc>
          <w:tcPr>
            <w:tcW w:w="455" w:type="dxa"/>
            <w:tcBorders/>
            <w:shd w:fill="C6F4F9" w:val="clear"/>
            <w:vAlign w:val="center"/>
          </w:tcPr>
          <w:p>
            <w:pPr>
              <w:pStyle w:val="TableContents"/>
              <w:bidi w:val="0"/>
              <w:spacing w:before="0" w:after="283"/>
              <w:jc w:val="right"/>
              <w:rPr>
                <w:sz w:val="20"/>
              </w:rPr>
            </w:pPr>
            <w:r>
              <w:rPr>
                <w:sz w:val="20"/>
              </w:rPr>
              <w:t>52</w:t>
            </w:r>
          </w:p>
        </w:tc>
      </w:tr>
      <w:tr>
        <w:trPr/>
        <w:tc>
          <w:tcPr>
            <w:tcW w:w="395" w:type="dxa"/>
            <w:tcBorders/>
            <w:shd w:fill="FFFFFF" w:val="clear"/>
            <w:vAlign w:val="center"/>
          </w:tcPr>
          <w:p>
            <w:pPr>
              <w:pStyle w:val="TableContents"/>
              <w:bidi w:val="0"/>
              <w:spacing w:before="0" w:after="283"/>
              <w:jc w:val="left"/>
              <w:rPr>
                <w:sz w:val="20"/>
              </w:rPr>
            </w:pPr>
            <w:r>
              <w:rPr>
                <w:sz w:val="20"/>
              </w:rPr>
              <w:t>1.10</w:t>
            </w:r>
          </w:p>
        </w:tc>
        <w:tc>
          <w:tcPr>
            <w:tcW w:w="6395" w:type="dxa"/>
            <w:tcBorders/>
            <w:shd w:fill="FFFFFF" w:val="clear"/>
            <w:vAlign w:val="center"/>
          </w:tcPr>
          <w:p>
            <w:pPr>
              <w:pStyle w:val="TableContents"/>
              <w:bidi w:val="0"/>
              <w:spacing w:before="0" w:after="283"/>
              <w:jc w:val="left"/>
              <w:rPr>
                <w:sz w:val="20"/>
              </w:rPr>
            </w:pPr>
            <w:r>
              <w:rPr>
                <w:sz w:val="20"/>
              </w:rPr>
              <w:t>Change of Currency</w:t>
            </w:r>
          </w:p>
        </w:tc>
        <w:tc>
          <w:tcPr>
            <w:tcW w:w="455" w:type="dxa"/>
            <w:tcBorders/>
            <w:shd w:fill="FFFFFF" w:val="clear"/>
            <w:vAlign w:val="center"/>
          </w:tcPr>
          <w:p>
            <w:pPr>
              <w:pStyle w:val="TableContents"/>
              <w:bidi w:val="0"/>
              <w:spacing w:before="0" w:after="283"/>
              <w:jc w:val="right"/>
              <w:rPr>
                <w:sz w:val="20"/>
              </w:rPr>
            </w:pPr>
            <w:r>
              <w:rPr>
                <w:sz w:val="20"/>
              </w:rPr>
              <w:t>53</w:t>
            </w:r>
          </w:p>
        </w:tc>
      </w:tr>
      <w:tr>
        <w:trPr/>
        <w:tc>
          <w:tcPr>
            <w:tcW w:w="395" w:type="dxa"/>
            <w:tcBorders/>
            <w:shd w:fill="C6F4F9" w:val="clear"/>
            <w:vAlign w:val="center"/>
          </w:tcPr>
          <w:p>
            <w:pPr>
              <w:pStyle w:val="TableContents"/>
              <w:bidi w:val="0"/>
              <w:spacing w:before="0" w:after="283"/>
              <w:jc w:val="left"/>
              <w:rPr/>
            </w:pPr>
            <w:r>
              <w:rPr/>
              <w:t> </w:t>
            </w:r>
          </w:p>
        </w:tc>
        <w:tc>
          <w:tcPr>
            <w:tcW w:w="6395" w:type="dxa"/>
            <w:tcBorders/>
            <w:shd w:fill="C6F4F9" w:val="clear"/>
            <w:vAlign w:val="center"/>
          </w:tcPr>
          <w:p>
            <w:pPr>
              <w:pStyle w:val="TableContents"/>
              <w:bidi w:val="0"/>
              <w:spacing w:before="0" w:after="283"/>
              <w:jc w:val="left"/>
              <w:rPr/>
            </w:pPr>
            <w:r>
              <w:rPr/>
              <w:t> </w:t>
            </w:r>
          </w:p>
        </w:tc>
        <w:tc>
          <w:tcPr>
            <w:tcW w:w="455" w:type="dxa"/>
            <w:tcBorders/>
            <w:shd w:fill="C6F4F9" w:val="clear"/>
            <w:vAlign w:val="center"/>
          </w:tcPr>
          <w:p>
            <w:pPr>
              <w:pStyle w:val="TableContents"/>
              <w:bidi w:val="0"/>
              <w:spacing w:before="0" w:after="283"/>
              <w:jc w:val="right"/>
              <w:rPr/>
            </w:pPr>
            <w:r>
              <w:rPr/>
              <w:t> </w:t>
            </w:r>
          </w:p>
        </w:tc>
      </w:tr>
      <w:tr>
        <w:trPr/>
        <w:tc>
          <w:tcPr>
            <w:tcW w:w="6790" w:type="dxa"/>
            <w:gridSpan w:val="2"/>
            <w:tcBorders/>
            <w:shd w:fill="FFFFFF" w:val="clear"/>
            <w:vAlign w:val="center"/>
          </w:tcPr>
          <w:p>
            <w:pPr>
              <w:pStyle w:val="TableContents"/>
              <w:bidi w:val="0"/>
              <w:spacing w:before="0" w:after="283"/>
              <w:jc w:val="left"/>
              <w:rPr/>
            </w:pPr>
            <w:r>
              <w:rPr>
                <w:caps/>
                <w:sz w:val="20"/>
              </w:rPr>
              <w:t>Article II COMMITMENTS AND CREDIT EXTENSIONS</w:t>
            </w:r>
            <w:r>
              <w:rPr/>
              <w:t xml:space="preserve"> </w:t>
            </w:r>
          </w:p>
        </w:tc>
        <w:tc>
          <w:tcPr>
            <w:tcW w:w="455" w:type="dxa"/>
            <w:tcBorders/>
            <w:shd w:fill="FFFFFF" w:val="clear"/>
            <w:vAlign w:val="center"/>
          </w:tcPr>
          <w:p>
            <w:pPr>
              <w:pStyle w:val="TableContents"/>
              <w:bidi w:val="0"/>
              <w:spacing w:before="0" w:after="283"/>
              <w:jc w:val="right"/>
              <w:rPr>
                <w:caps/>
                <w:sz w:val="20"/>
              </w:rPr>
            </w:pPr>
            <w:r>
              <w:rPr>
                <w:caps/>
                <w:sz w:val="20"/>
              </w:rPr>
              <w:t>53</w:t>
            </w:r>
          </w:p>
        </w:tc>
      </w:tr>
      <w:tr>
        <w:trPr/>
        <w:tc>
          <w:tcPr>
            <w:tcW w:w="6790" w:type="dxa"/>
            <w:gridSpan w:val="2"/>
            <w:tcBorders/>
            <w:shd w:fill="C6F4F9" w:val="clear"/>
            <w:vAlign w:val="center"/>
          </w:tcPr>
          <w:p>
            <w:pPr>
              <w:pStyle w:val="TableContents"/>
              <w:bidi w:val="0"/>
              <w:spacing w:before="0" w:after="283"/>
              <w:jc w:val="left"/>
              <w:rPr/>
            </w:pPr>
            <w:r>
              <w:rPr/>
              <w:t> </w:t>
            </w:r>
          </w:p>
        </w:tc>
        <w:tc>
          <w:tcPr>
            <w:tcW w:w="455" w:type="dxa"/>
            <w:tcBorders/>
            <w:shd w:fill="C6F4F9" w:val="clear"/>
            <w:vAlign w:val="center"/>
          </w:tcPr>
          <w:p>
            <w:pPr>
              <w:pStyle w:val="TableContents"/>
              <w:bidi w:val="0"/>
              <w:spacing w:before="0" w:after="283"/>
              <w:jc w:val="right"/>
              <w:rPr/>
            </w:pPr>
            <w:r>
              <w:rPr/>
              <w:t> </w:t>
            </w:r>
          </w:p>
        </w:tc>
      </w:tr>
      <w:tr>
        <w:trPr/>
        <w:tc>
          <w:tcPr>
            <w:tcW w:w="395" w:type="dxa"/>
            <w:tcBorders/>
            <w:shd w:fill="FFFFFF" w:val="clear"/>
            <w:vAlign w:val="center"/>
          </w:tcPr>
          <w:p>
            <w:pPr>
              <w:pStyle w:val="TableContents"/>
              <w:bidi w:val="0"/>
              <w:spacing w:before="0" w:after="283"/>
              <w:jc w:val="left"/>
              <w:rPr>
                <w:sz w:val="20"/>
              </w:rPr>
            </w:pPr>
            <w:r>
              <w:rPr>
                <w:sz w:val="20"/>
              </w:rPr>
              <w:t>2.01</w:t>
            </w:r>
          </w:p>
        </w:tc>
        <w:tc>
          <w:tcPr>
            <w:tcW w:w="6395" w:type="dxa"/>
            <w:tcBorders/>
            <w:shd w:fill="FFFFFF" w:val="clear"/>
            <w:vAlign w:val="center"/>
          </w:tcPr>
          <w:p>
            <w:pPr>
              <w:pStyle w:val="TableContents"/>
              <w:bidi w:val="0"/>
              <w:spacing w:before="0" w:after="283"/>
              <w:jc w:val="left"/>
              <w:rPr>
                <w:sz w:val="20"/>
              </w:rPr>
            </w:pPr>
            <w:r>
              <w:rPr>
                <w:sz w:val="20"/>
              </w:rPr>
              <w:t>Revolving Loans</w:t>
            </w:r>
          </w:p>
        </w:tc>
        <w:tc>
          <w:tcPr>
            <w:tcW w:w="455" w:type="dxa"/>
            <w:tcBorders/>
            <w:shd w:fill="FFFFFF" w:val="clear"/>
            <w:vAlign w:val="center"/>
          </w:tcPr>
          <w:p>
            <w:pPr>
              <w:pStyle w:val="TableContents"/>
              <w:bidi w:val="0"/>
              <w:spacing w:before="0" w:after="283"/>
              <w:jc w:val="right"/>
              <w:rPr>
                <w:sz w:val="20"/>
              </w:rPr>
            </w:pPr>
            <w:r>
              <w:rPr>
                <w:sz w:val="20"/>
              </w:rPr>
              <w:t>53</w:t>
            </w:r>
          </w:p>
        </w:tc>
      </w:tr>
      <w:tr>
        <w:trPr/>
        <w:tc>
          <w:tcPr>
            <w:tcW w:w="395" w:type="dxa"/>
            <w:tcBorders/>
            <w:shd w:fill="C6F4F9" w:val="clear"/>
            <w:vAlign w:val="center"/>
          </w:tcPr>
          <w:p>
            <w:pPr>
              <w:pStyle w:val="TableContents"/>
              <w:bidi w:val="0"/>
              <w:spacing w:before="0" w:after="283"/>
              <w:jc w:val="left"/>
              <w:rPr>
                <w:sz w:val="20"/>
              </w:rPr>
            </w:pPr>
            <w:r>
              <w:rPr>
                <w:sz w:val="20"/>
              </w:rPr>
              <w:t>2.02</w:t>
            </w:r>
          </w:p>
        </w:tc>
        <w:tc>
          <w:tcPr>
            <w:tcW w:w="6395" w:type="dxa"/>
            <w:tcBorders/>
            <w:shd w:fill="C6F4F9" w:val="clear"/>
            <w:vAlign w:val="center"/>
          </w:tcPr>
          <w:p>
            <w:pPr>
              <w:pStyle w:val="TableContents"/>
              <w:bidi w:val="0"/>
              <w:spacing w:before="0" w:after="283"/>
              <w:jc w:val="left"/>
              <w:rPr>
                <w:sz w:val="20"/>
              </w:rPr>
            </w:pPr>
            <w:r>
              <w:rPr>
                <w:sz w:val="20"/>
              </w:rPr>
              <w:t>Borrowings, Conversions and Continuations of Loans</w:t>
            </w:r>
          </w:p>
        </w:tc>
        <w:tc>
          <w:tcPr>
            <w:tcW w:w="455" w:type="dxa"/>
            <w:tcBorders/>
            <w:shd w:fill="C6F4F9" w:val="clear"/>
            <w:vAlign w:val="center"/>
          </w:tcPr>
          <w:p>
            <w:pPr>
              <w:pStyle w:val="TableContents"/>
              <w:bidi w:val="0"/>
              <w:spacing w:before="0" w:after="283"/>
              <w:jc w:val="right"/>
              <w:rPr/>
            </w:pPr>
            <w:r>
              <w:rPr>
                <w:strike/>
                <w:color w:val="FF0000"/>
                <w:sz w:val="20"/>
              </w:rPr>
              <w:t>54</w:t>
            </w:r>
            <w:r>
              <w:rPr>
                <w:color w:val="0000FF"/>
                <w:sz w:val="20"/>
                <w:u w:val="single"/>
              </w:rPr>
              <w:t>53</w:t>
            </w:r>
          </w:p>
        </w:tc>
      </w:tr>
      <w:tr>
        <w:trPr/>
        <w:tc>
          <w:tcPr>
            <w:tcW w:w="395" w:type="dxa"/>
            <w:tcBorders/>
            <w:shd w:fill="FFFFFF" w:val="clear"/>
            <w:vAlign w:val="center"/>
          </w:tcPr>
          <w:p>
            <w:pPr>
              <w:pStyle w:val="TableContents"/>
              <w:bidi w:val="0"/>
              <w:spacing w:before="0" w:after="283"/>
              <w:jc w:val="left"/>
              <w:rPr>
                <w:sz w:val="20"/>
              </w:rPr>
            </w:pPr>
            <w:r>
              <w:rPr>
                <w:sz w:val="20"/>
              </w:rPr>
              <w:t>2.03</w:t>
            </w:r>
          </w:p>
        </w:tc>
        <w:tc>
          <w:tcPr>
            <w:tcW w:w="6395" w:type="dxa"/>
            <w:tcBorders/>
            <w:shd w:fill="FFFFFF" w:val="clear"/>
            <w:vAlign w:val="center"/>
          </w:tcPr>
          <w:p>
            <w:pPr>
              <w:pStyle w:val="TableContents"/>
              <w:bidi w:val="0"/>
              <w:spacing w:before="0" w:after="283"/>
              <w:jc w:val="left"/>
              <w:rPr>
                <w:sz w:val="20"/>
              </w:rPr>
            </w:pPr>
            <w:r>
              <w:rPr>
                <w:sz w:val="20"/>
              </w:rPr>
              <w:t>Letters of Credit.</w:t>
            </w:r>
          </w:p>
        </w:tc>
        <w:tc>
          <w:tcPr>
            <w:tcW w:w="455" w:type="dxa"/>
            <w:tcBorders/>
            <w:shd w:fill="FFFFFF" w:val="clear"/>
            <w:vAlign w:val="center"/>
          </w:tcPr>
          <w:p>
            <w:pPr>
              <w:pStyle w:val="TableContents"/>
              <w:bidi w:val="0"/>
              <w:spacing w:before="0" w:after="283"/>
              <w:jc w:val="right"/>
              <w:rPr>
                <w:sz w:val="20"/>
              </w:rPr>
            </w:pPr>
            <w:r>
              <w:rPr>
                <w:sz w:val="20"/>
              </w:rPr>
              <w:t>56</w:t>
            </w:r>
          </w:p>
        </w:tc>
      </w:tr>
      <w:tr>
        <w:trPr/>
        <w:tc>
          <w:tcPr>
            <w:tcW w:w="395" w:type="dxa"/>
            <w:tcBorders/>
            <w:shd w:fill="C6F4F9" w:val="clear"/>
            <w:vAlign w:val="center"/>
          </w:tcPr>
          <w:p>
            <w:pPr>
              <w:pStyle w:val="TableContents"/>
              <w:bidi w:val="0"/>
              <w:spacing w:before="0" w:after="283"/>
              <w:jc w:val="left"/>
              <w:rPr>
                <w:sz w:val="20"/>
              </w:rPr>
            </w:pPr>
            <w:r>
              <w:rPr>
                <w:sz w:val="20"/>
              </w:rPr>
              <w:t>2.04</w:t>
            </w:r>
          </w:p>
        </w:tc>
        <w:tc>
          <w:tcPr>
            <w:tcW w:w="6395" w:type="dxa"/>
            <w:tcBorders/>
            <w:shd w:fill="C6F4F9" w:val="clear"/>
            <w:vAlign w:val="center"/>
          </w:tcPr>
          <w:p>
            <w:pPr>
              <w:pStyle w:val="TableContents"/>
              <w:bidi w:val="0"/>
              <w:spacing w:before="0" w:after="283"/>
              <w:jc w:val="left"/>
              <w:rPr>
                <w:sz w:val="20"/>
              </w:rPr>
            </w:pPr>
            <w:r>
              <w:rPr>
                <w:sz w:val="20"/>
              </w:rPr>
              <w:t>Swingline Loans</w:t>
            </w:r>
          </w:p>
        </w:tc>
        <w:tc>
          <w:tcPr>
            <w:tcW w:w="455" w:type="dxa"/>
            <w:tcBorders/>
            <w:shd w:fill="C6F4F9" w:val="clear"/>
            <w:vAlign w:val="center"/>
          </w:tcPr>
          <w:p>
            <w:pPr>
              <w:pStyle w:val="TableContents"/>
              <w:bidi w:val="0"/>
              <w:spacing w:before="0" w:after="283"/>
              <w:jc w:val="right"/>
              <w:rPr>
                <w:sz w:val="20"/>
              </w:rPr>
            </w:pPr>
            <w:r>
              <w:rPr>
                <w:sz w:val="20"/>
              </w:rPr>
              <w:t>64</w:t>
            </w:r>
          </w:p>
        </w:tc>
      </w:tr>
      <w:tr>
        <w:trPr/>
        <w:tc>
          <w:tcPr>
            <w:tcW w:w="395" w:type="dxa"/>
            <w:tcBorders/>
            <w:shd w:fill="FFFFFF" w:val="clear"/>
            <w:vAlign w:val="center"/>
          </w:tcPr>
          <w:p>
            <w:pPr>
              <w:pStyle w:val="TableContents"/>
              <w:bidi w:val="0"/>
              <w:spacing w:before="0" w:after="283"/>
              <w:jc w:val="left"/>
              <w:rPr>
                <w:sz w:val="20"/>
              </w:rPr>
            </w:pPr>
            <w:r>
              <w:rPr>
                <w:sz w:val="20"/>
              </w:rPr>
              <w:t>2.05</w:t>
            </w:r>
          </w:p>
        </w:tc>
        <w:tc>
          <w:tcPr>
            <w:tcW w:w="6395" w:type="dxa"/>
            <w:tcBorders/>
            <w:shd w:fill="FFFFFF" w:val="clear"/>
            <w:vAlign w:val="center"/>
          </w:tcPr>
          <w:p>
            <w:pPr>
              <w:pStyle w:val="TableContents"/>
              <w:bidi w:val="0"/>
              <w:spacing w:before="0" w:after="283"/>
              <w:jc w:val="left"/>
              <w:rPr>
                <w:sz w:val="20"/>
              </w:rPr>
            </w:pPr>
            <w:r>
              <w:rPr>
                <w:sz w:val="20"/>
              </w:rPr>
              <w:t>Prepayments</w:t>
            </w:r>
          </w:p>
        </w:tc>
        <w:tc>
          <w:tcPr>
            <w:tcW w:w="455" w:type="dxa"/>
            <w:tcBorders/>
            <w:shd w:fill="FFFFFF" w:val="clear"/>
            <w:vAlign w:val="center"/>
          </w:tcPr>
          <w:p>
            <w:pPr>
              <w:pStyle w:val="TableContents"/>
              <w:bidi w:val="0"/>
              <w:spacing w:before="0" w:after="283"/>
              <w:jc w:val="right"/>
              <w:rPr>
                <w:sz w:val="20"/>
              </w:rPr>
            </w:pPr>
            <w:r>
              <w:rPr>
                <w:sz w:val="20"/>
              </w:rPr>
              <w:t>67</w:t>
            </w:r>
          </w:p>
        </w:tc>
      </w:tr>
      <w:tr>
        <w:trPr/>
        <w:tc>
          <w:tcPr>
            <w:tcW w:w="395" w:type="dxa"/>
            <w:tcBorders/>
            <w:shd w:fill="C6F4F9" w:val="clear"/>
            <w:vAlign w:val="center"/>
          </w:tcPr>
          <w:p>
            <w:pPr>
              <w:pStyle w:val="TableContents"/>
              <w:bidi w:val="0"/>
              <w:spacing w:before="0" w:after="283"/>
              <w:jc w:val="left"/>
              <w:rPr>
                <w:sz w:val="20"/>
              </w:rPr>
            </w:pPr>
            <w:r>
              <w:rPr>
                <w:sz w:val="20"/>
              </w:rPr>
              <w:t>2.06</w:t>
            </w:r>
          </w:p>
        </w:tc>
        <w:tc>
          <w:tcPr>
            <w:tcW w:w="6395" w:type="dxa"/>
            <w:tcBorders/>
            <w:shd w:fill="C6F4F9" w:val="clear"/>
            <w:vAlign w:val="center"/>
          </w:tcPr>
          <w:p>
            <w:pPr>
              <w:pStyle w:val="TableContents"/>
              <w:bidi w:val="0"/>
              <w:spacing w:before="0" w:after="283"/>
              <w:jc w:val="left"/>
              <w:rPr>
                <w:sz w:val="20"/>
              </w:rPr>
            </w:pPr>
            <w:r>
              <w:rPr>
                <w:sz w:val="20"/>
              </w:rPr>
              <w:t>Termination or Reduction of Commitments</w:t>
            </w:r>
          </w:p>
        </w:tc>
        <w:tc>
          <w:tcPr>
            <w:tcW w:w="455" w:type="dxa"/>
            <w:tcBorders/>
            <w:shd w:fill="C6F4F9" w:val="clear"/>
            <w:vAlign w:val="center"/>
          </w:tcPr>
          <w:p>
            <w:pPr>
              <w:pStyle w:val="TableContents"/>
              <w:bidi w:val="0"/>
              <w:spacing w:before="0" w:after="283"/>
              <w:jc w:val="right"/>
              <w:rPr>
                <w:sz w:val="20"/>
              </w:rPr>
            </w:pPr>
            <w:r>
              <w:rPr>
                <w:sz w:val="20"/>
              </w:rPr>
              <w:t>68</w:t>
            </w:r>
          </w:p>
        </w:tc>
      </w:tr>
      <w:tr>
        <w:trPr/>
        <w:tc>
          <w:tcPr>
            <w:tcW w:w="395" w:type="dxa"/>
            <w:tcBorders/>
            <w:shd w:fill="FFFFFF" w:val="clear"/>
            <w:vAlign w:val="center"/>
          </w:tcPr>
          <w:p>
            <w:pPr>
              <w:pStyle w:val="TableContents"/>
              <w:bidi w:val="0"/>
              <w:spacing w:before="0" w:after="283"/>
              <w:jc w:val="left"/>
              <w:rPr>
                <w:sz w:val="20"/>
              </w:rPr>
            </w:pPr>
            <w:r>
              <w:rPr>
                <w:sz w:val="20"/>
              </w:rPr>
              <w:t>2.07</w:t>
            </w:r>
          </w:p>
        </w:tc>
        <w:tc>
          <w:tcPr>
            <w:tcW w:w="6395" w:type="dxa"/>
            <w:tcBorders/>
            <w:shd w:fill="FFFFFF" w:val="clear"/>
            <w:vAlign w:val="center"/>
          </w:tcPr>
          <w:p>
            <w:pPr>
              <w:pStyle w:val="TableContents"/>
              <w:bidi w:val="0"/>
              <w:spacing w:before="0" w:after="283"/>
              <w:jc w:val="left"/>
              <w:rPr>
                <w:sz w:val="20"/>
              </w:rPr>
            </w:pPr>
            <w:r>
              <w:rPr>
                <w:sz w:val="20"/>
              </w:rPr>
              <w:t>Repayment of Loans</w:t>
            </w:r>
          </w:p>
        </w:tc>
        <w:tc>
          <w:tcPr>
            <w:tcW w:w="455" w:type="dxa"/>
            <w:tcBorders/>
            <w:shd w:fill="FFFFFF" w:val="clear"/>
            <w:vAlign w:val="center"/>
          </w:tcPr>
          <w:p>
            <w:pPr>
              <w:pStyle w:val="TableContents"/>
              <w:bidi w:val="0"/>
              <w:spacing w:before="0" w:after="283"/>
              <w:jc w:val="right"/>
              <w:rPr/>
            </w:pPr>
            <w:r>
              <w:rPr>
                <w:strike/>
                <w:color w:val="FF0000"/>
                <w:sz w:val="20"/>
              </w:rPr>
              <w:t>69</w:t>
            </w:r>
            <w:r>
              <w:rPr>
                <w:color w:val="0000FF"/>
                <w:sz w:val="20"/>
                <w:u w:val="single"/>
              </w:rPr>
              <w:t>68</w:t>
            </w:r>
          </w:p>
        </w:tc>
      </w:tr>
      <w:tr>
        <w:trPr/>
        <w:tc>
          <w:tcPr>
            <w:tcW w:w="395" w:type="dxa"/>
            <w:tcBorders/>
            <w:shd w:fill="C6F4F9" w:val="clear"/>
            <w:vAlign w:val="center"/>
          </w:tcPr>
          <w:p>
            <w:pPr>
              <w:pStyle w:val="TableContents"/>
              <w:bidi w:val="0"/>
              <w:spacing w:before="0" w:after="283"/>
              <w:jc w:val="left"/>
              <w:rPr>
                <w:sz w:val="20"/>
              </w:rPr>
            </w:pPr>
            <w:r>
              <w:rPr>
                <w:sz w:val="20"/>
              </w:rPr>
              <w:t>2.08</w:t>
            </w:r>
          </w:p>
        </w:tc>
        <w:tc>
          <w:tcPr>
            <w:tcW w:w="6395" w:type="dxa"/>
            <w:tcBorders/>
            <w:shd w:fill="C6F4F9" w:val="clear"/>
            <w:vAlign w:val="center"/>
          </w:tcPr>
          <w:p>
            <w:pPr>
              <w:pStyle w:val="TableContents"/>
              <w:bidi w:val="0"/>
              <w:spacing w:before="0" w:after="283"/>
              <w:jc w:val="left"/>
              <w:rPr>
                <w:sz w:val="20"/>
              </w:rPr>
            </w:pPr>
            <w:r>
              <w:rPr>
                <w:sz w:val="20"/>
              </w:rPr>
              <w:t>Interest and Default Rate</w:t>
            </w:r>
          </w:p>
        </w:tc>
        <w:tc>
          <w:tcPr>
            <w:tcW w:w="455" w:type="dxa"/>
            <w:tcBorders/>
            <w:shd w:fill="C6F4F9" w:val="clear"/>
            <w:vAlign w:val="center"/>
          </w:tcPr>
          <w:p>
            <w:pPr>
              <w:pStyle w:val="TableContents"/>
              <w:bidi w:val="0"/>
              <w:spacing w:before="0" w:after="283"/>
              <w:jc w:val="right"/>
              <w:rPr>
                <w:sz w:val="20"/>
              </w:rPr>
            </w:pPr>
            <w:r>
              <w:rPr>
                <w:sz w:val="20"/>
              </w:rPr>
              <w:t>69</w:t>
            </w:r>
          </w:p>
        </w:tc>
      </w:tr>
      <w:tr>
        <w:trPr/>
        <w:tc>
          <w:tcPr>
            <w:tcW w:w="395" w:type="dxa"/>
            <w:tcBorders/>
            <w:shd w:fill="FFFFFF" w:val="clear"/>
            <w:vAlign w:val="center"/>
          </w:tcPr>
          <w:p>
            <w:pPr>
              <w:pStyle w:val="TableContents"/>
              <w:bidi w:val="0"/>
              <w:spacing w:before="0" w:after="283"/>
              <w:jc w:val="left"/>
              <w:rPr>
                <w:sz w:val="20"/>
              </w:rPr>
            </w:pPr>
            <w:r>
              <w:rPr>
                <w:sz w:val="20"/>
              </w:rPr>
              <w:t>2.09</w:t>
            </w:r>
          </w:p>
        </w:tc>
        <w:tc>
          <w:tcPr>
            <w:tcW w:w="6395" w:type="dxa"/>
            <w:tcBorders/>
            <w:shd w:fill="FFFFFF" w:val="clear"/>
            <w:vAlign w:val="center"/>
          </w:tcPr>
          <w:p>
            <w:pPr>
              <w:pStyle w:val="TableContents"/>
              <w:bidi w:val="0"/>
              <w:spacing w:before="0" w:after="283"/>
              <w:jc w:val="left"/>
              <w:rPr>
                <w:sz w:val="20"/>
              </w:rPr>
            </w:pPr>
            <w:r>
              <w:rPr>
                <w:sz w:val="20"/>
              </w:rPr>
              <w:t>Fees</w:t>
            </w:r>
          </w:p>
        </w:tc>
        <w:tc>
          <w:tcPr>
            <w:tcW w:w="455" w:type="dxa"/>
            <w:tcBorders/>
            <w:shd w:fill="FFFFFF" w:val="clear"/>
            <w:vAlign w:val="center"/>
          </w:tcPr>
          <w:p>
            <w:pPr>
              <w:pStyle w:val="TableContents"/>
              <w:bidi w:val="0"/>
              <w:spacing w:before="0" w:after="283"/>
              <w:jc w:val="right"/>
              <w:rPr/>
            </w:pPr>
            <w:r>
              <w:rPr>
                <w:strike/>
                <w:color w:val="FF0000"/>
                <w:sz w:val="20"/>
              </w:rPr>
              <w:t>70</w:t>
            </w:r>
            <w:r>
              <w:rPr>
                <w:color w:val="0000FF"/>
                <w:sz w:val="20"/>
                <w:u w:val="single"/>
              </w:rPr>
              <w:t>69</w:t>
            </w:r>
          </w:p>
        </w:tc>
      </w:tr>
      <w:tr>
        <w:trPr/>
        <w:tc>
          <w:tcPr>
            <w:tcW w:w="395" w:type="dxa"/>
            <w:tcBorders/>
            <w:shd w:fill="C6F4F9" w:val="clear"/>
            <w:vAlign w:val="center"/>
          </w:tcPr>
          <w:p>
            <w:pPr>
              <w:pStyle w:val="TableContents"/>
              <w:bidi w:val="0"/>
              <w:spacing w:before="0" w:after="283"/>
              <w:jc w:val="left"/>
              <w:rPr>
                <w:sz w:val="20"/>
              </w:rPr>
            </w:pPr>
            <w:r>
              <w:rPr>
                <w:sz w:val="20"/>
              </w:rPr>
              <w:t>2.10</w:t>
            </w:r>
          </w:p>
        </w:tc>
        <w:tc>
          <w:tcPr>
            <w:tcW w:w="6395" w:type="dxa"/>
            <w:tcBorders/>
            <w:shd w:fill="C6F4F9" w:val="clear"/>
            <w:vAlign w:val="center"/>
          </w:tcPr>
          <w:p>
            <w:pPr>
              <w:pStyle w:val="TableContents"/>
              <w:bidi w:val="0"/>
              <w:spacing w:before="0" w:after="283"/>
              <w:jc w:val="left"/>
              <w:rPr>
                <w:sz w:val="20"/>
              </w:rPr>
            </w:pPr>
            <w:r>
              <w:rPr>
                <w:sz w:val="20"/>
              </w:rPr>
              <w:t>Computation of Interest and Fees; Retroactive Adjustments of Applicable Rate</w:t>
            </w:r>
          </w:p>
        </w:tc>
        <w:tc>
          <w:tcPr>
            <w:tcW w:w="455" w:type="dxa"/>
            <w:tcBorders/>
            <w:shd w:fill="C6F4F9" w:val="clear"/>
            <w:vAlign w:val="center"/>
          </w:tcPr>
          <w:p>
            <w:pPr>
              <w:pStyle w:val="TableContents"/>
              <w:bidi w:val="0"/>
              <w:spacing w:before="0" w:after="283"/>
              <w:jc w:val="right"/>
              <w:rPr>
                <w:sz w:val="20"/>
              </w:rPr>
            </w:pPr>
            <w:r>
              <w:rPr>
                <w:sz w:val="20"/>
              </w:rPr>
              <w:t>70</w:t>
            </w:r>
          </w:p>
        </w:tc>
      </w:tr>
      <w:tr>
        <w:trPr/>
        <w:tc>
          <w:tcPr>
            <w:tcW w:w="395" w:type="dxa"/>
            <w:tcBorders/>
            <w:shd w:fill="FFFFFF" w:val="clear"/>
            <w:vAlign w:val="center"/>
          </w:tcPr>
          <w:p>
            <w:pPr>
              <w:pStyle w:val="TableContents"/>
              <w:bidi w:val="0"/>
              <w:spacing w:before="0" w:after="283"/>
              <w:jc w:val="left"/>
              <w:rPr>
                <w:sz w:val="20"/>
              </w:rPr>
            </w:pPr>
            <w:r>
              <w:rPr>
                <w:sz w:val="20"/>
              </w:rPr>
              <w:t>2.11</w:t>
            </w:r>
          </w:p>
        </w:tc>
        <w:tc>
          <w:tcPr>
            <w:tcW w:w="6395" w:type="dxa"/>
            <w:tcBorders/>
            <w:shd w:fill="FFFFFF" w:val="clear"/>
            <w:vAlign w:val="center"/>
          </w:tcPr>
          <w:p>
            <w:pPr>
              <w:pStyle w:val="TableContents"/>
              <w:bidi w:val="0"/>
              <w:spacing w:before="0" w:after="283"/>
              <w:jc w:val="left"/>
              <w:rPr>
                <w:sz w:val="20"/>
              </w:rPr>
            </w:pPr>
            <w:r>
              <w:rPr>
                <w:sz w:val="20"/>
              </w:rPr>
              <w:t>Evidence of Debt</w:t>
            </w:r>
          </w:p>
        </w:tc>
        <w:tc>
          <w:tcPr>
            <w:tcW w:w="455" w:type="dxa"/>
            <w:tcBorders/>
            <w:shd w:fill="FFFFFF" w:val="clear"/>
            <w:vAlign w:val="center"/>
          </w:tcPr>
          <w:p>
            <w:pPr>
              <w:pStyle w:val="TableContents"/>
              <w:bidi w:val="0"/>
              <w:spacing w:before="0" w:after="283"/>
              <w:jc w:val="right"/>
              <w:rPr>
                <w:sz w:val="20"/>
              </w:rPr>
            </w:pPr>
            <w:r>
              <w:rPr>
                <w:sz w:val="20"/>
              </w:rPr>
              <w:t>71</w:t>
            </w:r>
          </w:p>
        </w:tc>
      </w:tr>
      <w:tr>
        <w:trPr/>
        <w:tc>
          <w:tcPr>
            <w:tcW w:w="395" w:type="dxa"/>
            <w:tcBorders/>
            <w:shd w:fill="C6F4F9" w:val="clear"/>
            <w:vAlign w:val="center"/>
          </w:tcPr>
          <w:p>
            <w:pPr>
              <w:pStyle w:val="TableContents"/>
              <w:bidi w:val="0"/>
              <w:spacing w:before="0" w:after="283"/>
              <w:jc w:val="left"/>
              <w:rPr>
                <w:sz w:val="20"/>
              </w:rPr>
            </w:pPr>
            <w:r>
              <w:rPr>
                <w:sz w:val="20"/>
              </w:rPr>
              <w:t>2.12</w:t>
            </w:r>
          </w:p>
        </w:tc>
        <w:tc>
          <w:tcPr>
            <w:tcW w:w="6395" w:type="dxa"/>
            <w:tcBorders/>
            <w:shd w:fill="C6F4F9" w:val="clear"/>
            <w:vAlign w:val="center"/>
          </w:tcPr>
          <w:p>
            <w:pPr>
              <w:pStyle w:val="TableContents"/>
              <w:bidi w:val="0"/>
              <w:spacing w:before="0" w:after="283"/>
              <w:jc w:val="left"/>
              <w:rPr>
                <w:sz w:val="20"/>
              </w:rPr>
            </w:pPr>
            <w:r>
              <w:rPr>
                <w:sz w:val="20"/>
              </w:rPr>
              <w:t>Payments Generally; Administrative Agent’s Clawback</w:t>
            </w:r>
          </w:p>
        </w:tc>
        <w:tc>
          <w:tcPr>
            <w:tcW w:w="455" w:type="dxa"/>
            <w:tcBorders/>
            <w:shd w:fill="C6F4F9" w:val="clear"/>
            <w:vAlign w:val="center"/>
          </w:tcPr>
          <w:p>
            <w:pPr>
              <w:pStyle w:val="TableContents"/>
              <w:bidi w:val="0"/>
              <w:spacing w:before="0" w:after="283"/>
              <w:jc w:val="right"/>
              <w:rPr>
                <w:sz w:val="20"/>
              </w:rPr>
            </w:pPr>
            <w:r>
              <w:rPr>
                <w:sz w:val="20"/>
              </w:rPr>
              <w:t>71</w:t>
            </w:r>
          </w:p>
        </w:tc>
      </w:tr>
      <w:tr>
        <w:trPr/>
        <w:tc>
          <w:tcPr>
            <w:tcW w:w="395" w:type="dxa"/>
            <w:tcBorders/>
            <w:shd w:fill="FFFFFF" w:val="clear"/>
            <w:vAlign w:val="center"/>
          </w:tcPr>
          <w:p>
            <w:pPr>
              <w:pStyle w:val="TableContents"/>
              <w:bidi w:val="0"/>
              <w:spacing w:before="0" w:after="283"/>
              <w:jc w:val="left"/>
              <w:rPr>
                <w:sz w:val="20"/>
              </w:rPr>
            </w:pPr>
            <w:r>
              <w:rPr>
                <w:sz w:val="20"/>
              </w:rPr>
              <w:t>2.13</w:t>
            </w:r>
          </w:p>
        </w:tc>
        <w:tc>
          <w:tcPr>
            <w:tcW w:w="6395" w:type="dxa"/>
            <w:tcBorders/>
            <w:shd w:fill="FFFFFF" w:val="clear"/>
            <w:vAlign w:val="center"/>
          </w:tcPr>
          <w:p>
            <w:pPr>
              <w:pStyle w:val="TableContents"/>
              <w:bidi w:val="0"/>
              <w:spacing w:before="0" w:after="283"/>
              <w:jc w:val="left"/>
              <w:rPr>
                <w:sz w:val="20"/>
              </w:rPr>
            </w:pPr>
            <w:r>
              <w:rPr>
                <w:sz w:val="20"/>
              </w:rPr>
              <w:t>Sharing of Payments by Lenders</w:t>
            </w:r>
          </w:p>
        </w:tc>
        <w:tc>
          <w:tcPr>
            <w:tcW w:w="455" w:type="dxa"/>
            <w:tcBorders/>
            <w:shd w:fill="FFFFFF" w:val="clear"/>
            <w:vAlign w:val="center"/>
          </w:tcPr>
          <w:p>
            <w:pPr>
              <w:pStyle w:val="TableContents"/>
              <w:bidi w:val="0"/>
              <w:spacing w:before="0" w:after="283"/>
              <w:jc w:val="right"/>
              <w:rPr>
                <w:sz w:val="20"/>
              </w:rPr>
            </w:pPr>
            <w:r>
              <w:rPr>
                <w:sz w:val="20"/>
              </w:rPr>
              <w:t>74</w:t>
            </w:r>
          </w:p>
        </w:tc>
      </w:tr>
      <w:tr>
        <w:trPr/>
        <w:tc>
          <w:tcPr>
            <w:tcW w:w="395" w:type="dxa"/>
            <w:tcBorders/>
            <w:shd w:fill="C6F4F9" w:val="clear"/>
            <w:vAlign w:val="center"/>
          </w:tcPr>
          <w:p>
            <w:pPr>
              <w:pStyle w:val="TableContents"/>
              <w:bidi w:val="0"/>
              <w:spacing w:before="0" w:after="283"/>
              <w:jc w:val="left"/>
              <w:rPr>
                <w:sz w:val="20"/>
              </w:rPr>
            </w:pPr>
            <w:r>
              <w:rPr>
                <w:sz w:val="20"/>
              </w:rPr>
              <w:t>2.14</w:t>
            </w:r>
          </w:p>
        </w:tc>
        <w:tc>
          <w:tcPr>
            <w:tcW w:w="6395" w:type="dxa"/>
            <w:tcBorders/>
            <w:shd w:fill="C6F4F9" w:val="clear"/>
            <w:vAlign w:val="center"/>
          </w:tcPr>
          <w:p>
            <w:pPr>
              <w:pStyle w:val="TableContents"/>
              <w:bidi w:val="0"/>
              <w:spacing w:before="0" w:after="283"/>
              <w:jc w:val="left"/>
              <w:rPr>
                <w:sz w:val="20"/>
              </w:rPr>
            </w:pPr>
            <w:r>
              <w:rPr>
                <w:sz w:val="20"/>
              </w:rPr>
              <w:t>Cash Collateral</w:t>
            </w:r>
          </w:p>
        </w:tc>
        <w:tc>
          <w:tcPr>
            <w:tcW w:w="455" w:type="dxa"/>
            <w:tcBorders/>
            <w:shd w:fill="C6F4F9" w:val="clear"/>
            <w:vAlign w:val="center"/>
          </w:tcPr>
          <w:p>
            <w:pPr>
              <w:pStyle w:val="TableContents"/>
              <w:bidi w:val="0"/>
              <w:spacing w:before="0" w:after="283"/>
              <w:jc w:val="right"/>
              <w:rPr/>
            </w:pPr>
            <w:r>
              <w:rPr>
                <w:strike/>
                <w:color w:val="FF0000"/>
                <w:sz w:val="20"/>
              </w:rPr>
              <w:t>75</w:t>
            </w:r>
            <w:r>
              <w:rPr>
                <w:color w:val="0000FF"/>
                <w:sz w:val="20"/>
                <w:u w:val="single"/>
              </w:rPr>
              <w:t>74</w:t>
            </w:r>
          </w:p>
        </w:tc>
      </w:tr>
      <w:tr>
        <w:trPr/>
        <w:tc>
          <w:tcPr>
            <w:tcW w:w="395" w:type="dxa"/>
            <w:tcBorders/>
            <w:shd w:fill="FFFFFF" w:val="clear"/>
            <w:vAlign w:val="center"/>
          </w:tcPr>
          <w:p>
            <w:pPr>
              <w:pStyle w:val="TableContents"/>
              <w:bidi w:val="0"/>
              <w:spacing w:before="0" w:after="283"/>
              <w:jc w:val="left"/>
              <w:rPr>
                <w:sz w:val="20"/>
              </w:rPr>
            </w:pPr>
            <w:r>
              <w:rPr>
                <w:sz w:val="20"/>
              </w:rPr>
              <w:t>2.15</w:t>
            </w:r>
          </w:p>
        </w:tc>
        <w:tc>
          <w:tcPr>
            <w:tcW w:w="6395" w:type="dxa"/>
            <w:tcBorders/>
            <w:shd w:fill="FFFFFF" w:val="clear"/>
            <w:vAlign w:val="center"/>
          </w:tcPr>
          <w:p>
            <w:pPr>
              <w:pStyle w:val="TableContents"/>
              <w:bidi w:val="0"/>
              <w:spacing w:before="0" w:after="283"/>
              <w:jc w:val="left"/>
              <w:rPr>
                <w:sz w:val="20"/>
              </w:rPr>
            </w:pPr>
            <w:r>
              <w:rPr>
                <w:sz w:val="20"/>
              </w:rPr>
              <w:t>Defaulting Lenders</w:t>
            </w:r>
          </w:p>
        </w:tc>
        <w:tc>
          <w:tcPr>
            <w:tcW w:w="455" w:type="dxa"/>
            <w:tcBorders/>
            <w:shd w:fill="FFFFFF" w:val="clear"/>
            <w:vAlign w:val="center"/>
          </w:tcPr>
          <w:p>
            <w:pPr>
              <w:pStyle w:val="TableContents"/>
              <w:bidi w:val="0"/>
              <w:spacing w:before="0" w:after="283"/>
              <w:jc w:val="right"/>
              <w:rPr>
                <w:sz w:val="20"/>
              </w:rPr>
            </w:pPr>
            <w:r>
              <w:rPr>
                <w:sz w:val="20"/>
              </w:rPr>
              <w:t>76</w:t>
            </w:r>
          </w:p>
        </w:tc>
      </w:tr>
      <w:tr>
        <w:trPr/>
        <w:tc>
          <w:tcPr>
            <w:tcW w:w="395" w:type="dxa"/>
            <w:tcBorders/>
            <w:shd w:fill="C6F4F9" w:val="clear"/>
            <w:vAlign w:val="center"/>
          </w:tcPr>
          <w:p>
            <w:pPr>
              <w:pStyle w:val="TableContents"/>
              <w:bidi w:val="0"/>
              <w:spacing w:before="0" w:after="283"/>
              <w:jc w:val="left"/>
              <w:rPr>
                <w:sz w:val="20"/>
              </w:rPr>
            </w:pPr>
            <w:r>
              <w:rPr>
                <w:sz w:val="20"/>
              </w:rPr>
              <w:t>2.16</w:t>
            </w:r>
          </w:p>
        </w:tc>
        <w:tc>
          <w:tcPr>
            <w:tcW w:w="6395" w:type="dxa"/>
            <w:tcBorders/>
            <w:shd w:fill="C6F4F9" w:val="clear"/>
            <w:vAlign w:val="center"/>
          </w:tcPr>
          <w:p>
            <w:pPr>
              <w:pStyle w:val="TableContents"/>
              <w:bidi w:val="0"/>
              <w:spacing w:before="0" w:after="283"/>
              <w:jc w:val="left"/>
              <w:rPr>
                <w:sz w:val="20"/>
              </w:rPr>
            </w:pPr>
            <w:r>
              <w:rPr>
                <w:sz w:val="20"/>
              </w:rPr>
              <w:t>Increase in Revolving Facility</w:t>
            </w:r>
          </w:p>
        </w:tc>
        <w:tc>
          <w:tcPr>
            <w:tcW w:w="455" w:type="dxa"/>
            <w:tcBorders/>
            <w:shd w:fill="C6F4F9" w:val="clear"/>
            <w:vAlign w:val="center"/>
          </w:tcPr>
          <w:p>
            <w:pPr>
              <w:pStyle w:val="TableContents"/>
              <w:bidi w:val="0"/>
              <w:spacing w:before="0" w:after="283"/>
              <w:jc w:val="right"/>
              <w:rPr>
                <w:sz w:val="20"/>
              </w:rPr>
            </w:pPr>
            <w:r>
              <w:rPr>
                <w:sz w:val="20"/>
              </w:rPr>
              <w:t>78</w:t>
            </w:r>
          </w:p>
        </w:tc>
      </w:tr>
      <w:tr>
        <w:trPr/>
        <w:tc>
          <w:tcPr>
            <w:tcW w:w="395" w:type="dxa"/>
            <w:tcBorders/>
            <w:shd w:fill="FFFFFF" w:val="clear"/>
            <w:vAlign w:val="center"/>
          </w:tcPr>
          <w:p>
            <w:pPr>
              <w:pStyle w:val="TableContents"/>
              <w:bidi w:val="0"/>
              <w:spacing w:before="0" w:after="283"/>
              <w:jc w:val="left"/>
              <w:rPr>
                <w:sz w:val="20"/>
              </w:rPr>
            </w:pPr>
            <w:r>
              <w:rPr>
                <w:sz w:val="20"/>
              </w:rPr>
              <w:t>2.17</w:t>
            </w:r>
          </w:p>
        </w:tc>
        <w:tc>
          <w:tcPr>
            <w:tcW w:w="6395" w:type="dxa"/>
            <w:tcBorders/>
            <w:shd w:fill="FFFFFF" w:val="clear"/>
            <w:vAlign w:val="center"/>
          </w:tcPr>
          <w:p>
            <w:pPr>
              <w:pStyle w:val="TableContents"/>
              <w:bidi w:val="0"/>
              <w:spacing w:before="0" w:after="283"/>
              <w:jc w:val="left"/>
              <w:rPr>
                <w:sz w:val="20"/>
              </w:rPr>
            </w:pPr>
            <w:r>
              <w:rPr>
                <w:sz w:val="20"/>
              </w:rPr>
              <w:t>Joint and Several Liability of the Borrowers</w:t>
            </w:r>
          </w:p>
        </w:tc>
        <w:tc>
          <w:tcPr>
            <w:tcW w:w="455" w:type="dxa"/>
            <w:tcBorders/>
            <w:shd w:fill="FFFFFF" w:val="clear"/>
            <w:vAlign w:val="center"/>
          </w:tcPr>
          <w:p>
            <w:pPr>
              <w:pStyle w:val="TableContents"/>
              <w:bidi w:val="0"/>
              <w:spacing w:before="0" w:after="283"/>
              <w:jc w:val="right"/>
              <w:rPr>
                <w:sz w:val="20"/>
              </w:rPr>
            </w:pPr>
            <w:r>
              <w:rPr>
                <w:sz w:val="20"/>
              </w:rPr>
              <w:t>79</w:t>
            </w:r>
          </w:p>
        </w:tc>
      </w:tr>
      <w:tr>
        <w:trPr/>
        <w:tc>
          <w:tcPr>
            <w:tcW w:w="395" w:type="dxa"/>
            <w:tcBorders/>
            <w:shd w:fill="C6F4F9" w:val="clear"/>
            <w:vAlign w:val="center"/>
          </w:tcPr>
          <w:p>
            <w:pPr>
              <w:pStyle w:val="TableContents"/>
              <w:bidi w:val="0"/>
              <w:spacing w:before="0" w:after="283"/>
              <w:jc w:val="left"/>
              <w:rPr>
                <w:sz w:val="20"/>
              </w:rPr>
            </w:pPr>
            <w:r>
              <w:rPr>
                <w:sz w:val="20"/>
              </w:rPr>
              <w:t>2.18</w:t>
            </w:r>
          </w:p>
        </w:tc>
        <w:tc>
          <w:tcPr>
            <w:tcW w:w="6395" w:type="dxa"/>
            <w:tcBorders/>
            <w:shd w:fill="C6F4F9" w:val="clear"/>
            <w:vAlign w:val="center"/>
          </w:tcPr>
          <w:p>
            <w:pPr>
              <w:pStyle w:val="TableContents"/>
              <w:bidi w:val="0"/>
              <w:spacing w:before="0" w:after="283"/>
              <w:jc w:val="left"/>
              <w:rPr>
                <w:sz w:val="20"/>
              </w:rPr>
            </w:pPr>
            <w:r>
              <w:rPr>
                <w:sz w:val="20"/>
              </w:rPr>
              <w:t>Designated Borrowers</w:t>
            </w:r>
          </w:p>
        </w:tc>
        <w:tc>
          <w:tcPr>
            <w:tcW w:w="455" w:type="dxa"/>
            <w:tcBorders/>
            <w:shd w:fill="C6F4F9" w:val="clear"/>
            <w:vAlign w:val="center"/>
          </w:tcPr>
          <w:p>
            <w:pPr>
              <w:pStyle w:val="TableContents"/>
              <w:bidi w:val="0"/>
              <w:spacing w:before="0" w:after="283"/>
              <w:jc w:val="right"/>
              <w:rPr>
                <w:sz w:val="20"/>
              </w:rPr>
            </w:pPr>
            <w:r>
              <w:rPr>
                <w:sz w:val="20"/>
              </w:rPr>
              <w:t>82</w:t>
            </w:r>
          </w:p>
        </w:tc>
      </w:tr>
      <w:tr>
        <w:trPr/>
        <w:tc>
          <w:tcPr>
            <w:tcW w:w="395" w:type="dxa"/>
            <w:tcBorders/>
            <w:shd w:fill="FFFFFF" w:val="clear"/>
            <w:vAlign w:val="center"/>
          </w:tcPr>
          <w:p>
            <w:pPr>
              <w:pStyle w:val="TableContents"/>
              <w:bidi w:val="0"/>
              <w:spacing w:before="0" w:after="283"/>
              <w:jc w:val="left"/>
              <w:rPr>
                <w:sz w:val="20"/>
              </w:rPr>
            </w:pPr>
            <w:r>
              <w:rPr>
                <w:sz w:val="20"/>
              </w:rPr>
              <w:t>2.19</w:t>
            </w:r>
          </w:p>
        </w:tc>
        <w:tc>
          <w:tcPr>
            <w:tcW w:w="6395" w:type="dxa"/>
            <w:tcBorders/>
            <w:shd w:fill="FFFFFF" w:val="clear"/>
            <w:vAlign w:val="center"/>
          </w:tcPr>
          <w:p>
            <w:pPr>
              <w:pStyle w:val="TableContents"/>
              <w:bidi w:val="0"/>
              <w:spacing w:before="0" w:after="283"/>
              <w:jc w:val="left"/>
              <w:rPr>
                <w:sz w:val="20"/>
              </w:rPr>
            </w:pPr>
            <w:r>
              <w:rPr>
                <w:sz w:val="20"/>
              </w:rPr>
              <w:t>Designated Lenders</w:t>
            </w:r>
          </w:p>
        </w:tc>
        <w:tc>
          <w:tcPr>
            <w:tcW w:w="455" w:type="dxa"/>
            <w:tcBorders/>
            <w:shd w:fill="FFFFFF" w:val="clear"/>
            <w:vAlign w:val="center"/>
          </w:tcPr>
          <w:p>
            <w:pPr>
              <w:pStyle w:val="TableContents"/>
              <w:bidi w:val="0"/>
              <w:spacing w:before="0" w:after="283"/>
              <w:jc w:val="right"/>
              <w:rPr/>
            </w:pPr>
            <w:r>
              <w:rPr>
                <w:strike/>
                <w:color w:val="FF0000"/>
                <w:sz w:val="20"/>
              </w:rPr>
              <w:t>83</w:t>
            </w:r>
            <w:r>
              <w:rPr>
                <w:color w:val="0000FF"/>
                <w:sz w:val="20"/>
                <w:u w:val="single"/>
              </w:rPr>
              <w:t>82</w:t>
            </w:r>
          </w:p>
        </w:tc>
      </w:tr>
      <w:tr>
        <w:trPr/>
        <w:tc>
          <w:tcPr>
            <w:tcW w:w="395" w:type="dxa"/>
            <w:tcBorders/>
            <w:shd w:fill="C6F4F9" w:val="clear"/>
            <w:vAlign w:val="center"/>
          </w:tcPr>
          <w:p>
            <w:pPr>
              <w:pStyle w:val="TableContents"/>
              <w:bidi w:val="0"/>
              <w:spacing w:before="0" w:after="283"/>
              <w:jc w:val="left"/>
              <w:rPr>
                <w:sz w:val="20"/>
              </w:rPr>
            </w:pPr>
            <w:r>
              <w:rPr>
                <w:sz w:val="20"/>
              </w:rPr>
              <w:t>2.20</w:t>
            </w:r>
          </w:p>
        </w:tc>
        <w:tc>
          <w:tcPr>
            <w:tcW w:w="6395" w:type="dxa"/>
            <w:tcBorders/>
            <w:shd w:fill="C6F4F9" w:val="clear"/>
            <w:vAlign w:val="center"/>
          </w:tcPr>
          <w:p>
            <w:pPr>
              <w:pStyle w:val="TableContents"/>
              <w:bidi w:val="0"/>
              <w:spacing w:before="0" w:after="283"/>
              <w:jc w:val="left"/>
              <w:rPr>
                <w:sz w:val="20"/>
              </w:rPr>
            </w:pPr>
            <w:r>
              <w:rPr>
                <w:sz w:val="20"/>
              </w:rPr>
              <w:t>Minimum Interest</w:t>
            </w:r>
          </w:p>
        </w:tc>
        <w:tc>
          <w:tcPr>
            <w:tcW w:w="455" w:type="dxa"/>
            <w:tcBorders/>
            <w:shd w:fill="C6F4F9" w:val="clear"/>
            <w:vAlign w:val="center"/>
          </w:tcPr>
          <w:p>
            <w:pPr>
              <w:pStyle w:val="TableContents"/>
              <w:bidi w:val="0"/>
              <w:spacing w:before="0" w:after="283"/>
              <w:jc w:val="right"/>
              <w:rPr>
                <w:sz w:val="20"/>
              </w:rPr>
            </w:pPr>
            <w:r>
              <w:rPr>
                <w:sz w:val="20"/>
              </w:rPr>
              <w:t>83</w:t>
            </w:r>
          </w:p>
        </w:tc>
      </w:tr>
      <w:tr>
        <w:trPr/>
        <w:tc>
          <w:tcPr>
            <w:tcW w:w="395" w:type="dxa"/>
            <w:tcBorders/>
            <w:shd w:fill="FFFFFF" w:val="clear"/>
            <w:vAlign w:val="center"/>
          </w:tcPr>
          <w:p>
            <w:pPr>
              <w:pStyle w:val="TableContents"/>
              <w:bidi w:val="0"/>
              <w:spacing w:before="0" w:after="283"/>
              <w:jc w:val="left"/>
              <w:rPr/>
            </w:pPr>
            <w:r>
              <w:rPr/>
              <w:t> </w:t>
            </w:r>
          </w:p>
        </w:tc>
        <w:tc>
          <w:tcPr>
            <w:tcW w:w="63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6790" w:type="dxa"/>
            <w:gridSpan w:val="2"/>
            <w:tcBorders/>
            <w:shd w:fill="C6F4F9" w:val="clear"/>
            <w:vAlign w:val="center"/>
          </w:tcPr>
          <w:p>
            <w:pPr>
              <w:pStyle w:val="TableContents"/>
              <w:bidi w:val="0"/>
              <w:spacing w:before="0" w:after="283"/>
              <w:jc w:val="left"/>
              <w:rPr/>
            </w:pPr>
            <w:r>
              <w:rPr>
                <w:caps/>
                <w:sz w:val="20"/>
              </w:rPr>
              <w:t>Article III TAXES, YIELD PROTECTION AND ILLEGALITY</w:t>
            </w:r>
            <w:r>
              <w:rPr/>
              <w:t xml:space="preserve"> </w:t>
            </w:r>
          </w:p>
        </w:tc>
        <w:tc>
          <w:tcPr>
            <w:tcW w:w="455" w:type="dxa"/>
            <w:tcBorders/>
            <w:shd w:fill="C6F4F9" w:val="clear"/>
            <w:vAlign w:val="center"/>
          </w:tcPr>
          <w:p>
            <w:pPr>
              <w:pStyle w:val="TableContents"/>
              <w:bidi w:val="0"/>
              <w:spacing w:before="0" w:after="283"/>
              <w:jc w:val="right"/>
              <w:rPr>
                <w:caps/>
                <w:sz w:val="20"/>
              </w:rPr>
            </w:pPr>
            <w:r>
              <w:rPr>
                <w:caps/>
                <w:sz w:val="20"/>
              </w:rPr>
              <w:t>84</w:t>
            </w:r>
          </w:p>
        </w:tc>
      </w:tr>
      <w:tr>
        <w:trPr/>
        <w:tc>
          <w:tcPr>
            <w:tcW w:w="6790" w:type="dxa"/>
            <w:gridSpan w:val="2"/>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395" w:type="dxa"/>
            <w:tcBorders/>
            <w:shd w:fill="C6F4F9" w:val="clear"/>
            <w:vAlign w:val="center"/>
          </w:tcPr>
          <w:p>
            <w:pPr>
              <w:pStyle w:val="TableContents"/>
              <w:bidi w:val="0"/>
              <w:spacing w:before="0" w:after="283"/>
              <w:jc w:val="left"/>
              <w:rPr>
                <w:sz w:val="20"/>
              </w:rPr>
            </w:pPr>
            <w:r>
              <w:rPr>
                <w:sz w:val="20"/>
              </w:rPr>
              <w:t>3.01</w:t>
            </w:r>
          </w:p>
        </w:tc>
        <w:tc>
          <w:tcPr>
            <w:tcW w:w="6395" w:type="dxa"/>
            <w:tcBorders/>
            <w:shd w:fill="C6F4F9" w:val="clear"/>
            <w:vAlign w:val="center"/>
          </w:tcPr>
          <w:p>
            <w:pPr>
              <w:pStyle w:val="TableContents"/>
              <w:bidi w:val="0"/>
              <w:spacing w:before="0" w:after="283"/>
              <w:jc w:val="left"/>
              <w:rPr>
                <w:sz w:val="20"/>
              </w:rPr>
            </w:pPr>
            <w:r>
              <w:rPr>
                <w:sz w:val="20"/>
              </w:rPr>
              <w:t>Taxes</w:t>
            </w:r>
          </w:p>
        </w:tc>
        <w:tc>
          <w:tcPr>
            <w:tcW w:w="455" w:type="dxa"/>
            <w:tcBorders/>
            <w:shd w:fill="C6F4F9" w:val="clear"/>
            <w:vAlign w:val="center"/>
          </w:tcPr>
          <w:p>
            <w:pPr>
              <w:pStyle w:val="TableContents"/>
              <w:bidi w:val="0"/>
              <w:spacing w:before="0" w:after="283"/>
              <w:jc w:val="right"/>
              <w:rPr>
                <w:sz w:val="20"/>
              </w:rPr>
            </w:pPr>
            <w:r>
              <w:rPr>
                <w:sz w:val="20"/>
              </w:rPr>
              <w:t>84</w:t>
            </w:r>
          </w:p>
        </w:tc>
      </w:tr>
      <w:tr>
        <w:trPr/>
        <w:tc>
          <w:tcPr>
            <w:tcW w:w="395" w:type="dxa"/>
            <w:tcBorders/>
            <w:shd w:fill="FFFFFF" w:val="clear"/>
            <w:vAlign w:val="center"/>
          </w:tcPr>
          <w:p>
            <w:pPr>
              <w:pStyle w:val="TableContents"/>
              <w:bidi w:val="0"/>
              <w:spacing w:before="0" w:after="283"/>
              <w:jc w:val="left"/>
              <w:rPr>
                <w:sz w:val="20"/>
              </w:rPr>
            </w:pPr>
            <w:r>
              <w:rPr>
                <w:sz w:val="20"/>
              </w:rPr>
              <w:t>3.02</w:t>
            </w:r>
          </w:p>
        </w:tc>
        <w:tc>
          <w:tcPr>
            <w:tcW w:w="6395" w:type="dxa"/>
            <w:tcBorders/>
            <w:shd w:fill="FFFFFF" w:val="clear"/>
            <w:vAlign w:val="center"/>
          </w:tcPr>
          <w:p>
            <w:pPr>
              <w:pStyle w:val="TableContents"/>
              <w:bidi w:val="0"/>
              <w:spacing w:before="0" w:after="283"/>
              <w:jc w:val="left"/>
              <w:rPr>
                <w:sz w:val="20"/>
              </w:rPr>
            </w:pPr>
            <w:r>
              <w:rPr>
                <w:sz w:val="20"/>
              </w:rPr>
              <w:t>Illegality and Designated Lenders</w:t>
            </w:r>
          </w:p>
        </w:tc>
        <w:tc>
          <w:tcPr>
            <w:tcW w:w="455" w:type="dxa"/>
            <w:tcBorders/>
            <w:shd w:fill="FFFFFF" w:val="clear"/>
            <w:vAlign w:val="center"/>
          </w:tcPr>
          <w:p>
            <w:pPr>
              <w:pStyle w:val="TableContents"/>
              <w:bidi w:val="0"/>
              <w:spacing w:before="0" w:after="283"/>
              <w:jc w:val="right"/>
              <w:rPr/>
            </w:pPr>
            <w:r>
              <w:rPr>
                <w:strike/>
                <w:color w:val="FF0000"/>
                <w:sz w:val="20"/>
              </w:rPr>
              <w:t>88</w:t>
            </w:r>
            <w:r>
              <w:rPr>
                <w:color w:val="0000FF"/>
                <w:sz w:val="20"/>
                <w:u w:val="single"/>
              </w:rPr>
              <w:t>87</w:t>
            </w:r>
          </w:p>
        </w:tc>
      </w:tr>
      <w:tr>
        <w:trPr/>
        <w:tc>
          <w:tcPr>
            <w:tcW w:w="395" w:type="dxa"/>
            <w:tcBorders/>
            <w:shd w:fill="C6F4F9" w:val="clear"/>
            <w:vAlign w:val="center"/>
          </w:tcPr>
          <w:p>
            <w:pPr>
              <w:pStyle w:val="TableContents"/>
              <w:bidi w:val="0"/>
              <w:spacing w:before="0" w:after="283"/>
              <w:jc w:val="left"/>
              <w:rPr>
                <w:sz w:val="20"/>
              </w:rPr>
            </w:pPr>
            <w:r>
              <w:rPr>
                <w:sz w:val="20"/>
              </w:rPr>
              <w:t>3.03</w:t>
            </w:r>
          </w:p>
        </w:tc>
        <w:tc>
          <w:tcPr>
            <w:tcW w:w="6395" w:type="dxa"/>
            <w:tcBorders/>
            <w:shd w:fill="C6F4F9" w:val="clear"/>
            <w:vAlign w:val="center"/>
          </w:tcPr>
          <w:p>
            <w:pPr>
              <w:pStyle w:val="TableContents"/>
              <w:bidi w:val="0"/>
              <w:spacing w:before="0" w:after="283"/>
              <w:jc w:val="left"/>
              <w:rPr>
                <w:sz w:val="20"/>
              </w:rPr>
            </w:pPr>
            <w:r>
              <w:rPr>
                <w:sz w:val="20"/>
              </w:rPr>
              <w:t>Inability to Determine Rates</w:t>
            </w:r>
          </w:p>
        </w:tc>
        <w:tc>
          <w:tcPr>
            <w:tcW w:w="455" w:type="dxa"/>
            <w:tcBorders/>
            <w:shd w:fill="C6F4F9" w:val="clear"/>
            <w:vAlign w:val="center"/>
          </w:tcPr>
          <w:p>
            <w:pPr>
              <w:pStyle w:val="TableContents"/>
              <w:bidi w:val="0"/>
              <w:spacing w:before="0" w:after="283"/>
              <w:jc w:val="right"/>
              <w:rPr/>
            </w:pPr>
            <w:r>
              <w:rPr>
                <w:strike/>
                <w:color w:val="FF0000"/>
                <w:sz w:val="20"/>
              </w:rPr>
              <w:t>89</w:t>
            </w:r>
            <w:r>
              <w:rPr>
                <w:color w:val="0000FF"/>
                <w:sz w:val="20"/>
                <w:u w:val="single"/>
              </w:rPr>
              <w:t>88</w:t>
            </w:r>
          </w:p>
        </w:tc>
      </w:tr>
      <w:tr>
        <w:trPr/>
        <w:tc>
          <w:tcPr>
            <w:tcW w:w="395" w:type="dxa"/>
            <w:tcBorders/>
            <w:shd w:fill="FFFFFF" w:val="clear"/>
            <w:vAlign w:val="center"/>
          </w:tcPr>
          <w:p>
            <w:pPr>
              <w:pStyle w:val="TableContents"/>
              <w:bidi w:val="0"/>
              <w:spacing w:before="0" w:after="283"/>
              <w:jc w:val="left"/>
              <w:rPr>
                <w:sz w:val="20"/>
              </w:rPr>
            </w:pPr>
            <w:r>
              <w:rPr>
                <w:sz w:val="20"/>
              </w:rPr>
              <w:t>3.04</w:t>
            </w:r>
          </w:p>
        </w:tc>
        <w:tc>
          <w:tcPr>
            <w:tcW w:w="6395" w:type="dxa"/>
            <w:tcBorders/>
            <w:shd w:fill="FFFFFF" w:val="clear"/>
            <w:vAlign w:val="center"/>
          </w:tcPr>
          <w:p>
            <w:pPr>
              <w:pStyle w:val="TableContents"/>
              <w:bidi w:val="0"/>
              <w:spacing w:before="0" w:after="283"/>
              <w:jc w:val="left"/>
              <w:rPr>
                <w:sz w:val="20"/>
              </w:rPr>
            </w:pPr>
            <w:r>
              <w:rPr>
                <w:sz w:val="20"/>
              </w:rPr>
              <w:t>Increased Costs; Reserves on Term SOFR Loans</w:t>
            </w:r>
          </w:p>
        </w:tc>
        <w:tc>
          <w:tcPr>
            <w:tcW w:w="455" w:type="dxa"/>
            <w:tcBorders/>
            <w:shd w:fill="FFFFFF" w:val="clear"/>
            <w:vAlign w:val="center"/>
          </w:tcPr>
          <w:p>
            <w:pPr>
              <w:pStyle w:val="TableContents"/>
              <w:bidi w:val="0"/>
              <w:spacing w:before="0" w:after="283"/>
              <w:jc w:val="right"/>
              <w:rPr>
                <w:sz w:val="20"/>
              </w:rPr>
            </w:pPr>
            <w:r>
              <w:rPr>
                <w:sz w:val="20"/>
              </w:rPr>
              <w:t>92</w:t>
            </w:r>
          </w:p>
        </w:tc>
      </w:tr>
      <w:tr>
        <w:trPr/>
        <w:tc>
          <w:tcPr>
            <w:tcW w:w="395" w:type="dxa"/>
            <w:tcBorders/>
            <w:shd w:fill="C6F4F9" w:val="clear"/>
            <w:vAlign w:val="center"/>
          </w:tcPr>
          <w:p>
            <w:pPr>
              <w:pStyle w:val="TableContents"/>
              <w:bidi w:val="0"/>
              <w:spacing w:before="0" w:after="283"/>
              <w:jc w:val="left"/>
              <w:rPr>
                <w:sz w:val="20"/>
              </w:rPr>
            </w:pPr>
            <w:r>
              <w:rPr>
                <w:sz w:val="20"/>
              </w:rPr>
              <w:t>3.05</w:t>
            </w:r>
          </w:p>
        </w:tc>
        <w:tc>
          <w:tcPr>
            <w:tcW w:w="6395" w:type="dxa"/>
            <w:tcBorders/>
            <w:shd w:fill="C6F4F9" w:val="clear"/>
            <w:vAlign w:val="center"/>
          </w:tcPr>
          <w:p>
            <w:pPr>
              <w:pStyle w:val="TableContents"/>
              <w:bidi w:val="0"/>
              <w:spacing w:before="0" w:after="283"/>
              <w:jc w:val="left"/>
              <w:rPr>
                <w:sz w:val="20"/>
              </w:rPr>
            </w:pPr>
            <w:r>
              <w:rPr>
                <w:sz w:val="20"/>
              </w:rPr>
              <w:t>Compensation for Losses</w:t>
            </w:r>
          </w:p>
        </w:tc>
        <w:tc>
          <w:tcPr>
            <w:tcW w:w="455" w:type="dxa"/>
            <w:tcBorders/>
            <w:shd w:fill="C6F4F9" w:val="clear"/>
            <w:vAlign w:val="center"/>
          </w:tcPr>
          <w:p>
            <w:pPr>
              <w:pStyle w:val="TableContents"/>
              <w:bidi w:val="0"/>
              <w:spacing w:before="0" w:after="283"/>
              <w:jc w:val="right"/>
              <w:rPr>
                <w:sz w:val="20"/>
              </w:rPr>
            </w:pPr>
            <w:r>
              <w:rPr>
                <w:sz w:val="20"/>
              </w:rPr>
              <w:t>93</w:t>
            </w:r>
          </w:p>
        </w:tc>
      </w:tr>
      <w:tr>
        <w:trPr/>
        <w:tc>
          <w:tcPr>
            <w:tcW w:w="395" w:type="dxa"/>
            <w:tcBorders/>
            <w:shd w:fill="FFFFFF" w:val="clear"/>
            <w:vAlign w:val="center"/>
          </w:tcPr>
          <w:p>
            <w:pPr>
              <w:pStyle w:val="TableContents"/>
              <w:bidi w:val="0"/>
              <w:spacing w:before="0" w:after="283"/>
              <w:jc w:val="left"/>
              <w:rPr>
                <w:sz w:val="20"/>
              </w:rPr>
            </w:pPr>
            <w:r>
              <w:rPr>
                <w:sz w:val="20"/>
              </w:rPr>
              <w:t>3.06</w:t>
            </w:r>
          </w:p>
        </w:tc>
        <w:tc>
          <w:tcPr>
            <w:tcW w:w="6395" w:type="dxa"/>
            <w:tcBorders/>
            <w:shd w:fill="FFFFFF" w:val="clear"/>
            <w:vAlign w:val="center"/>
          </w:tcPr>
          <w:p>
            <w:pPr>
              <w:pStyle w:val="TableContents"/>
              <w:bidi w:val="0"/>
              <w:spacing w:before="0" w:after="283"/>
              <w:jc w:val="left"/>
              <w:rPr>
                <w:sz w:val="20"/>
              </w:rPr>
            </w:pPr>
            <w:r>
              <w:rPr>
                <w:sz w:val="20"/>
              </w:rPr>
              <w:t>Mitigation Obligations; Replacement of Lenders</w:t>
            </w:r>
          </w:p>
        </w:tc>
        <w:tc>
          <w:tcPr>
            <w:tcW w:w="455" w:type="dxa"/>
            <w:tcBorders/>
            <w:shd w:fill="FFFFFF" w:val="clear"/>
            <w:vAlign w:val="center"/>
          </w:tcPr>
          <w:p>
            <w:pPr>
              <w:pStyle w:val="TableContents"/>
              <w:bidi w:val="0"/>
              <w:spacing w:before="0" w:after="283"/>
              <w:jc w:val="right"/>
              <w:rPr>
                <w:sz w:val="20"/>
              </w:rPr>
            </w:pPr>
            <w:r>
              <w:rPr>
                <w:sz w:val="20"/>
              </w:rPr>
              <w:t>94</w:t>
            </w:r>
          </w:p>
        </w:tc>
      </w:tr>
      <w:tr>
        <w:trPr/>
        <w:tc>
          <w:tcPr>
            <w:tcW w:w="395" w:type="dxa"/>
            <w:tcBorders/>
            <w:shd w:fill="C6F4F9" w:val="clear"/>
            <w:vAlign w:val="center"/>
          </w:tcPr>
          <w:p>
            <w:pPr>
              <w:pStyle w:val="TableContents"/>
              <w:bidi w:val="0"/>
              <w:spacing w:before="0" w:after="283"/>
              <w:jc w:val="left"/>
              <w:rPr>
                <w:sz w:val="20"/>
              </w:rPr>
            </w:pPr>
            <w:r>
              <w:rPr>
                <w:sz w:val="20"/>
              </w:rPr>
              <w:t>3.07</w:t>
            </w:r>
          </w:p>
        </w:tc>
        <w:tc>
          <w:tcPr>
            <w:tcW w:w="6395" w:type="dxa"/>
            <w:tcBorders/>
            <w:shd w:fill="C6F4F9" w:val="clear"/>
            <w:vAlign w:val="center"/>
          </w:tcPr>
          <w:p>
            <w:pPr>
              <w:pStyle w:val="TableContents"/>
              <w:bidi w:val="0"/>
              <w:spacing w:before="0" w:after="283"/>
              <w:jc w:val="left"/>
              <w:rPr>
                <w:sz w:val="20"/>
              </w:rPr>
            </w:pPr>
            <w:r>
              <w:rPr>
                <w:sz w:val="20"/>
              </w:rPr>
              <w:t>Survival</w:t>
            </w:r>
          </w:p>
        </w:tc>
        <w:tc>
          <w:tcPr>
            <w:tcW w:w="455" w:type="dxa"/>
            <w:tcBorders/>
            <w:shd w:fill="C6F4F9" w:val="clear"/>
            <w:vAlign w:val="center"/>
          </w:tcPr>
          <w:p>
            <w:pPr>
              <w:pStyle w:val="TableContents"/>
              <w:bidi w:val="0"/>
              <w:spacing w:before="0" w:after="283"/>
              <w:jc w:val="right"/>
              <w:rPr>
                <w:sz w:val="20"/>
              </w:rPr>
            </w:pPr>
            <w:r>
              <w:rPr>
                <w:sz w:val="20"/>
              </w:rPr>
              <w:t>94</w:t>
            </w:r>
          </w:p>
        </w:tc>
      </w:tr>
      <w:tr>
        <w:trPr/>
        <w:tc>
          <w:tcPr>
            <w:tcW w:w="395" w:type="dxa"/>
            <w:tcBorders/>
            <w:shd w:fill="FFFFFF" w:val="clear"/>
            <w:vAlign w:val="center"/>
          </w:tcPr>
          <w:p>
            <w:pPr>
              <w:pStyle w:val="TableContents"/>
              <w:bidi w:val="0"/>
              <w:spacing w:before="0" w:after="283"/>
              <w:jc w:val="left"/>
              <w:rPr/>
            </w:pPr>
            <w:r>
              <w:rPr/>
              <w:t> </w:t>
            </w:r>
          </w:p>
        </w:tc>
        <w:tc>
          <w:tcPr>
            <w:tcW w:w="63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6790" w:type="dxa"/>
            <w:gridSpan w:val="2"/>
            <w:tcBorders/>
            <w:shd w:fill="C6F4F9" w:val="clear"/>
            <w:vAlign w:val="center"/>
          </w:tcPr>
          <w:p>
            <w:pPr>
              <w:pStyle w:val="TableContents"/>
              <w:bidi w:val="0"/>
              <w:spacing w:before="0" w:after="283"/>
              <w:jc w:val="left"/>
              <w:rPr/>
            </w:pPr>
            <w:r>
              <w:rPr>
                <w:caps/>
                <w:sz w:val="20"/>
              </w:rPr>
              <w:t>Article IV CONDITIONS PRECEDENT TO CREDIT EXTENSIONS</w:t>
            </w:r>
            <w:r>
              <w:rPr/>
              <w:t xml:space="preserve"> </w:t>
            </w:r>
          </w:p>
        </w:tc>
        <w:tc>
          <w:tcPr>
            <w:tcW w:w="455" w:type="dxa"/>
            <w:tcBorders/>
            <w:shd w:fill="C6F4F9" w:val="clear"/>
            <w:vAlign w:val="center"/>
          </w:tcPr>
          <w:p>
            <w:pPr>
              <w:pStyle w:val="TableContents"/>
              <w:bidi w:val="0"/>
              <w:spacing w:before="0" w:after="283"/>
              <w:jc w:val="right"/>
              <w:rPr>
                <w:caps/>
                <w:sz w:val="20"/>
              </w:rPr>
            </w:pPr>
            <w:r>
              <w:rPr>
                <w:caps/>
                <w:sz w:val="20"/>
              </w:rPr>
              <w:t>95</w:t>
            </w:r>
          </w:p>
        </w:tc>
      </w:tr>
      <w:tr>
        <w:trPr/>
        <w:tc>
          <w:tcPr>
            <w:tcW w:w="6790" w:type="dxa"/>
            <w:gridSpan w:val="2"/>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395" w:type="dxa"/>
            <w:tcBorders/>
            <w:shd w:fill="C6F4F9" w:val="clear"/>
            <w:vAlign w:val="center"/>
          </w:tcPr>
          <w:p>
            <w:pPr>
              <w:pStyle w:val="TableContents"/>
              <w:bidi w:val="0"/>
              <w:spacing w:before="0" w:after="283"/>
              <w:jc w:val="left"/>
              <w:rPr>
                <w:sz w:val="20"/>
              </w:rPr>
            </w:pPr>
            <w:r>
              <w:rPr>
                <w:sz w:val="20"/>
              </w:rPr>
              <w:t>4.01</w:t>
            </w:r>
          </w:p>
        </w:tc>
        <w:tc>
          <w:tcPr>
            <w:tcW w:w="6395" w:type="dxa"/>
            <w:tcBorders/>
            <w:shd w:fill="C6F4F9" w:val="clear"/>
            <w:vAlign w:val="center"/>
          </w:tcPr>
          <w:p>
            <w:pPr>
              <w:pStyle w:val="TableContents"/>
              <w:bidi w:val="0"/>
              <w:spacing w:before="0" w:after="283"/>
              <w:jc w:val="left"/>
              <w:rPr>
                <w:sz w:val="20"/>
              </w:rPr>
            </w:pPr>
            <w:r>
              <w:rPr>
                <w:sz w:val="20"/>
              </w:rPr>
              <w:t>Conditions of Initial Credit Extension</w:t>
            </w:r>
          </w:p>
        </w:tc>
        <w:tc>
          <w:tcPr>
            <w:tcW w:w="455" w:type="dxa"/>
            <w:tcBorders/>
            <w:shd w:fill="C6F4F9" w:val="clear"/>
            <w:vAlign w:val="center"/>
          </w:tcPr>
          <w:p>
            <w:pPr>
              <w:pStyle w:val="TableContents"/>
              <w:bidi w:val="0"/>
              <w:spacing w:before="0" w:after="283"/>
              <w:jc w:val="right"/>
              <w:rPr>
                <w:sz w:val="20"/>
              </w:rPr>
            </w:pPr>
            <w:r>
              <w:rPr>
                <w:sz w:val="20"/>
              </w:rPr>
              <w:t>95</w:t>
            </w:r>
          </w:p>
        </w:tc>
      </w:tr>
      <w:tr>
        <w:trPr/>
        <w:tc>
          <w:tcPr>
            <w:tcW w:w="395" w:type="dxa"/>
            <w:tcBorders/>
            <w:shd w:fill="FFFFFF" w:val="clear"/>
            <w:vAlign w:val="center"/>
          </w:tcPr>
          <w:p>
            <w:pPr>
              <w:pStyle w:val="TableContents"/>
              <w:bidi w:val="0"/>
              <w:spacing w:before="0" w:after="283"/>
              <w:jc w:val="left"/>
              <w:rPr>
                <w:sz w:val="20"/>
              </w:rPr>
            </w:pPr>
            <w:r>
              <w:rPr>
                <w:sz w:val="20"/>
              </w:rPr>
              <w:t>4.02</w:t>
            </w:r>
          </w:p>
        </w:tc>
        <w:tc>
          <w:tcPr>
            <w:tcW w:w="6395" w:type="dxa"/>
            <w:tcBorders/>
            <w:shd w:fill="FFFFFF" w:val="clear"/>
            <w:vAlign w:val="center"/>
          </w:tcPr>
          <w:p>
            <w:pPr>
              <w:pStyle w:val="TableContents"/>
              <w:bidi w:val="0"/>
              <w:spacing w:before="0" w:after="283"/>
              <w:jc w:val="left"/>
              <w:rPr>
                <w:sz w:val="20"/>
              </w:rPr>
            </w:pPr>
            <w:r>
              <w:rPr>
                <w:sz w:val="20"/>
              </w:rPr>
              <w:t>Conditions to all Credit Extensions</w:t>
            </w:r>
          </w:p>
        </w:tc>
        <w:tc>
          <w:tcPr>
            <w:tcW w:w="455" w:type="dxa"/>
            <w:tcBorders/>
            <w:shd w:fill="FFFFFF" w:val="clear"/>
            <w:vAlign w:val="center"/>
          </w:tcPr>
          <w:p>
            <w:pPr>
              <w:pStyle w:val="TableContents"/>
              <w:bidi w:val="0"/>
              <w:spacing w:before="0" w:after="283"/>
              <w:jc w:val="right"/>
              <w:rPr>
                <w:sz w:val="20"/>
              </w:rPr>
            </w:pPr>
            <w:r>
              <w:rPr>
                <w:sz w:val="20"/>
              </w:rPr>
              <w:t>98</w:t>
            </w:r>
          </w:p>
        </w:tc>
      </w:tr>
    </w:tbl>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34" w:type="dxa"/>
        <w:jc w:val="left"/>
        <w:tblInd w:w="0" w:type="dxa"/>
        <w:tblLayout w:type="fixed"/>
        <w:tblCellMar>
          <w:top w:w="0" w:type="dxa"/>
          <w:left w:w="0" w:type="dxa"/>
          <w:bottom w:w="0" w:type="dxa"/>
          <w:right w:w="0" w:type="dxa"/>
        </w:tblCellMar>
      </w:tblPr>
      <w:tblGrid>
        <w:gridCol w:w="418"/>
        <w:gridCol w:w="4266"/>
        <w:gridCol w:w="350"/>
      </w:tblGrid>
      <w:tr>
        <w:trPr/>
        <w:tc>
          <w:tcPr>
            <w:tcW w:w="4684" w:type="dxa"/>
            <w:gridSpan w:val="2"/>
            <w:tcBorders/>
            <w:shd w:fill="C6F4F9" w:val="clear"/>
            <w:vAlign w:val="center"/>
          </w:tcPr>
          <w:p>
            <w:pPr>
              <w:pStyle w:val="TableContents"/>
              <w:bidi w:val="0"/>
              <w:spacing w:before="0" w:after="283"/>
              <w:jc w:val="left"/>
              <w:rPr/>
            </w:pPr>
            <w:r>
              <w:rPr>
                <w:caps/>
                <w:sz w:val="20"/>
              </w:rPr>
              <w:t>Article V REPRESENTATIONS AND WARRANTIES</w:t>
            </w:r>
            <w:r>
              <w:rPr/>
              <w:t xml:space="preserve"> </w:t>
            </w:r>
          </w:p>
        </w:tc>
        <w:tc>
          <w:tcPr>
            <w:tcW w:w="350" w:type="dxa"/>
            <w:tcBorders/>
            <w:shd w:fill="C6F4F9" w:val="clear"/>
            <w:vAlign w:val="center"/>
          </w:tcPr>
          <w:p>
            <w:pPr>
              <w:pStyle w:val="TableContents"/>
              <w:bidi w:val="0"/>
              <w:spacing w:before="0" w:after="283"/>
              <w:jc w:val="right"/>
              <w:rPr>
                <w:caps/>
                <w:sz w:val="20"/>
              </w:rPr>
            </w:pPr>
            <w:r>
              <w:rPr>
                <w:caps/>
                <w:sz w:val="20"/>
              </w:rPr>
              <w:t>99</w:t>
            </w:r>
          </w:p>
        </w:tc>
      </w:tr>
      <w:tr>
        <w:trPr/>
        <w:tc>
          <w:tcPr>
            <w:tcW w:w="4684" w:type="dxa"/>
            <w:gridSpan w:val="2"/>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right"/>
              <w:rPr/>
            </w:pPr>
            <w:r>
              <w:rPr/>
              <w:t> </w:t>
            </w:r>
          </w:p>
        </w:tc>
      </w:tr>
      <w:tr>
        <w:trPr/>
        <w:tc>
          <w:tcPr>
            <w:tcW w:w="418" w:type="dxa"/>
            <w:tcBorders/>
            <w:shd w:fill="C6F4F9" w:val="clear"/>
            <w:vAlign w:val="center"/>
          </w:tcPr>
          <w:p>
            <w:pPr>
              <w:pStyle w:val="TableContents"/>
              <w:bidi w:val="0"/>
              <w:spacing w:before="0" w:after="283"/>
              <w:jc w:val="left"/>
              <w:rPr>
                <w:sz w:val="20"/>
              </w:rPr>
            </w:pPr>
            <w:r>
              <w:rPr>
                <w:sz w:val="20"/>
              </w:rPr>
              <w:t>5.01</w:t>
            </w:r>
          </w:p>
        </w:tc>
        <w:tc>
          <w:tcPr>
            <w:tcW w:w="4266" w:type="dxa"/>
            <w:tcBorders/>
            <w:shd w:fill="C6F4F9" w:val="clear"/>
            <w:vAlign w:val="center"/>
          </w:tcPr>
          <w:p>
            <w:pPr>
              <w:pStyle w:val="TableContents"/>
              <w:bidi w:val="0"/>
              <w:spacing w:before="0" w:after="283"/>
              <w:jc w:val="left"/>
              <w:rPr>
                <w:sz w:val="20"/>
              </w:rPr>
            </w:pPr>
            <w:r>
              <w:rPr>
                <w:sz w:val="20"/>
              </w:rPr>
              <w:t>Existence, Qualification and Power</w:t>
            </w:r>
          </w:p>
        </w:tc>
        <w:tc>
          <w:tcPr>
            <w:tcW w:w="350" w:type="dxa"/>
            <w:tcBorders/>
            <w:shd w:fill="C6F4F9" w:val="clear"/>
            <w:vAlign w:val="center"/>
          </w:tcPr>
          <w:p>
            <w:pPr>
              <w:pStyle w:val="TableContents"/>
              <w:bidi w:val="0"/>
              <w:spacing w:before="0" w:after="283"/>
              <w:jc w:val="right"/>
              <w:rPr>
                <w:sz w:val="20"/>
              </w:rPr>
            </w:pPr>
            <w:r>
              <w:rPr>
                <w:sz w:val="20"/>
              </w:rPr>
              <w:t>99</w:t>
            </w:r>
          </w:p>
        </w:tc>
      </w:tr>
      <w:tr>
        <w:trPr/>
        <w:tc>
          <w:tcPr>
            <w:tcW w:w="418" w:type="dxa"/>
            <w:tcBorders/>
            <w:shd w:fill="FFFFFF" w:val="clear"/>
            <w:vAlign w:val="center"/>
          </w:tcPr>
          <w:p>
            <w:pPr>
              <w:pStyle w:val="TableContents"/>
              <w:bidi w:val="0"/>
              <w:spacing w:before="0" w:after="283"/>
              <w:jc w:val="left"/>
              <w:rPr>
                <w:sz w:val="20"/>
              </w:rPr>
            </w:pPr>
            <w:r>
              <w:rPr>
                <w:sz w:val="20"/>
              </w:rPr>
              <w:t>5.02</w:t>
            </w:r>
          </w:p>
        </w:tc>
        <w:tc>
          <w:tcPr>
            <w:tcW w:w="4266" w:type="dxa"/>
            <w:tcBorders/>
            <w:shd w:fill="FFFFFF" w:val="clear"/>
            <w:vAlign w:val="center"/>
          </w:tcPr>
          <w:p>
            <w:pPr>
              <w:pStyle w:val="TableContents"/>
              <w:bidi w:val="0"/>
              <w:spacing w:before="0" w:after="283"/>
              <w:jc w:val="left"/>
              <w:rPr>
                <w:sz w:val="20"/>
              </w:rPr>
            </w:pPr>
            <w:r>
              <w:rPr>
                <w:sz w:val="20"/>
              </w:rPr>
              <w:t>Authorization; No Contravention</w:t>
            </w:r>
          </w:p>
        </w:tc>
        <w:tc>
          <w:tcPr>
            <w:tcW w:w="350" w:type="dxa"/>
            <w:tcBorders/>
            <w:shd w:fill="FFFFFF" w:val="clear"/>
            <w:vAlign w:val="center"/>
          </w:tcPr>
          <w:p>
            <w:pPr>
              <w:pStyle w:val="TableContents"/>
              <w:bidi w:val="0"/>
              <w:spacing w:before="0" w:after="283"/>
              <w:jc w:val="right"/>
              <w:rPr>
                <w:sz w:val="20"/>
              </w:rPr>
            </w:pPr>
            <w:r>
              <w:rPr>
                <w:sz w:val="20"/>
              </w:rPr>
              <w:t>99</w:t>
            </w:r>
          </w:p>
        </w:tc>
      </w:tr>
      <w:tr>
        <w:trPr/>
        <w:tc>
          <w:tcPr>
            <w:tcW w:w="418" w:type="dxa"/>
            <w:tcBorders/>
            <w:shd w:fill="C6F4F9" w:val="clear"/>
            <w:vAlign w:val="center"/>
          </w:tcPr>
          <w:p>
            <w:pPr>
              <w:pStyle w:val="TableContents"/>
              <w:bidi w:val="0"/>
              <w:spacing w:before="0" w:after="283"/>
              <w:jc w:val="left"/>
              <w:rPr>
                <w:sz w:val="20"/>
              </w:rPr>
            </w:pPr>
            <w:r>
              <w:rPr>
                <w:sz w:val="20"/>
              </w:rPr>
              <w:t>5.03</w:t>
            </w:r>
          </w:p>
        </w:tc>
        <w:tc>
          <w:tcPr>
            <w:tcW w:w="4266" w:type="dxa"/>
            <w:tcBorders/>
            <w:shd w:fill="C6F4F9" w:val="clear"/>
            <w:vAlign w:val="center"/>
          </w:tcPr>
          <w:p>
            <w:pPr>
              <w:pStyle w:val="TableContents"/>
              <w:bidi w:val="0"/>
              <w:spacing w:before="0" w:after="283"/>
              <w:jc w:val="left"/>
              <w:rPr>
                <w:sz w:val="20"/>
              </w:rPr>
            </w:pPr>
            <w:r>
              <w:rPr>
                <w:sz w:val="20"/>
              </w:rPr>
              <w:t>Governmental Authorization; Other Consents</w:t>
            </w:r>
          </w:p>
        </w:tc>
        <w:tc>
          <w:tcPr>
            <w:tcW w:w="350" w:type="dxa"/>
            <w:tcBorders/>
            <w:shd w:fill="C6F4F9" w:val="clear"/>
            <w:vAlign w:val="center"/>
          </w:tcPr>
          <w:p>
            <w:pPr>
              <w:pStyle w:val="TableContents"/>
              <w:bidi w:val="0"/>
              <w:spacing w:before="0" w:after="283"/>
              <w:jc w:val="right"/>
              <w:rPr>
                <w:sz w:val="20"/>
              </w:rPr>
            </w:pPr>
            <w:r>
              <w:rPr>
                <w:sz w:val="20"/>
              </w:rPr>
              <w:t>99</w:t>
            </w:r>
          </w:p>
        </w:tc>
      </w:tr>
      <w:tr>
        <w:trPr/>
        <w:tc>
          <w:tcPr>
            <w:tcW w:w="418" w:type="dxa"/>
            <w:tcBorders/>
            <w:shd w:fill="FFFFFF" w:val="clear"/>
            <w:vAlign w:val="center"/>
          </w:tcPr>
          <w:p>
            <w:pPr>
              <w:pStyle w:val="TableContents"/>
              <w:bidi w:val="0"/>
              <w:spacing w:before="0" w:after="283"/>
              <w:jc w:val="left"/>
              <w:rPr>
                <w:sz w:val="20"/>
              </w:rPr>
            </w:pPr>
            <w:r>
              <w:rPr>
                <w:sz w:val="20"/>
              </w:rPr>
              <w:t>5.04</w:t>
            </w:r>
          </w:p>
        </w:tc>
        <w:tc>
          <w:tcPr>
            <w:tcW w:w="4266" w:type="dxa"/>
            <w:tcBorders/>
            <w:shd w:fill="FFFFFF" w:val="clear"/>
            <w:vAlign w:val="center"/>
          </w:tcPr>
          <w:p>
            <w:pPr>
              <w:pStyle w:val="TableContents"/>
              <w:bidi w:val="0"/>
              <w:spacing w:before="0" w:after="283"/>
              <w:jc w:val="left"/>
              <w:rPr>
                <w:sz w:val="20"/>
              </w:rPr>
            </w:pPr>
            <w:r>
              <w:rPr>
                <w:sz w:val="20"/>
              </w:rPr>
              <w:t>Binding Effect</w:t>
            </w:r>
          </w:p>
        </w:tc>
        <w:tc>
          <w:tcPr>
            <w:tcW w:w="350" w:type="dxa"/>
            <w:tcBorders/>
            <w:shd w:fill="FFFFFF" w:val="clear"/>
            <w:vAlign w:val="center"/>
          </w:tcPr>
          <w:p>
            <w:pPr>
              <w:pStyle w:val="TableContents"/>
              <w:bidi w:val="0"/>
              <w:spacing w:before="0" w:after="283"/>
              <w:jc w:val="right"/>
              <w:rPr>
                <w:sz w:val="20"/>
              </w:rPr>
            </w:pPr>
            <w:r>
              <w:rPr>
                <w:sz w:val="20"/>
              </w:rPr>
              <w:t>99</w:t>
            </w:r>
          </w:p>
        </w:tc>
      </w:tr>
      <w:tr>
        <w:trPr/>
        <w:tc>
          <w:tcPr>
            <w:tcW w:w="418" w:type="dxa"/>
            <w:tcBorders/>
            <w:shd w:fill="C6F4F9" w:val="clear"/>
            <w:vAlign w:val="center"/>
          </w:tcPr>
          <w:p>
            <w:pPr>
              <w:pStyle w:val="TableContents"/>
              <w:bidi w:val="0"/>
              <w:spacing w:before="0" w:after="283"/>
              <w:jc w:val="left"/>
              <w:rPr>
                <w:sz w:val="20"/>
              </w:rPr>
            </w:pPr>
            <w:r>
              <w:rPr>
                <w:sz w:val="20"/>
              </w:rPr>
              <w:t>5.05</w:t>
            </w:r>
          </w:p>
        </w:tc>
        <w:tc>
          <w:tcPr>
            <w:tcW w:w="4266" w:type="dxa"/>
            <w:tcBorders/>
            <w:shd w:fill="C6F4F9" w:val="clear"/>
            <w:vAlign w:val="center"/>
          </w:tcPr>
          <w:p>
            <w:pPr>
              <w:pStyle w:val="TableContents"/>
              <w:bidi w:val="0"/>
              <w:spacing w:before="0" w:after="283"/>
              <w:jc w:val="left"/>
              <w:rPr>
                <w:sz w:val="20"/>
              </w:rPr>
            </w:pPr>
            <w:r>
              <w:rPr>
                <w:sz w:val="20"/>
              </w:rPr>
              <w:t>Financial Statements; No Material Adverse Effect</w:t>
            </w:r>
          </w:p>
        </w:tc>
        <w:tc>
          <w:tcPr>
            <w:tcW w:w="350" w:type="dxa"/>
            <w:tcBorders/>
            <w:shd w:fill="C6F4F9" w:val="clear"/>
            <w:vAlign w:val="center"/>
          </w:tcPr>
          <w:p>
            <w:pPr>
              <w:pStyle w:val="TableContents"/>
              <w:bidi w:val="0"/>
              <w:spacing w:before="0" w:after="283"/>
              <w:jc w:val="right"/>
              <w:rPr>
                <w:sz w:val="20"/>
              </w:rPr>
            </w:pPr>
            <w:r>
              <w:rPr>
                <w:sz w:val="20"/>
              </w:rPr>
              <w:t>100</w:t>
            </w:r>
          </w:p>
        </w:tc>
      </w:tr>
      <w:tr>
        <w:trPr/>
        <w:tc>
          <w:tcPr>
            <w:tcW w:w="418" w:type="dxa"/>
            <w:tcBorders/>
            <w:shd w:fill="FFFFFF" w:val="clear"/>
            <w:vAlign w:val="center"/>
          </w:tcPr>
          <w:p>
            <w:pPr>
              <w:pStyle w:val="TableContents"/>
              <w:bidi w:val="0"/>
              <w:spacing w:before="0" w:after="283"/>
              <w:jc w:val="left"/>
              <w:rPr>
                <w:sz w:val="20"/>
              </w:rPr>
            </w:pPr>
            <w:r>
              <w:rPr>
                <w:sz w:val="20"/>
              </w:rPr>
              <w:t>5.06</w:t>
            </w:r>
          </w:p>
        </w:tc>
        <w:tc>
          <w:tcPr>
            <w:tcW w:w="4266" w:type="dxa"/>
            <w:tcBorders/>
            <w:shd w:fill="FFFFFF" w:val="clear"/>
            <w:vAlign w:val="center"/>
          </w:tcPr>
          <w:p>
            <w:pPr>
              <w:pStyle w:val="TableContents"/>
              <w:bidi w:val="0"/>
              <w:spacing w:before="0" w:after="283"/>
              <w:jc w:val="left"/>
              <w:rPr>
                <w:sz w:val="20"/>
              </w:rPr>
            </w:pPr>
            <w:r>
              <w:rPr>
                <w:sz w:val="20"/>
              </w:rPr>
              <w:t>Litigation</w:t>
            </w:r>
          </w:p>
        </w:tc>
        <w:tc>
          <w:tcPr>
            <w:tcW w:w="350" w:type="dxa"/>
            <w:tcBorders/>
            <w:shd w:fill="FFFFFF" w:val="clear"/>
            <w:vAlign w:val="center"/>
          </w:tcPr>
          <w:p>
            <w:pPr>
              <w:pStyle w:val="TableContents"/>
              <w:bidi w:val="0"/>
              <w:spacing w:before="0" w:after="283"/>
              <w:jc w:val="right"/>
              <w:rPr>
                <w:sz w:val="20"/>
              </w:rPr>
            </w:pPr>
            <w:r>
              <w:rPr>
                <w:sz w:val="20"/>
              </w:rPr>
              <w:t>100</w:t>
            </w:r>
          </w:p>
        </w:tc>
      </w:tr>
      <w:tr>
        <w:trPr/>
        <w:tc>
          <w:tcPr>
            <w:tcW w:w="418" w:type="dxa"/>
            <w:tcBorders/>
            <w:shd w:fill="C6F4F9" w:val="clear"/>
            <w:vAlign w:val="center"/>
          </w:tcPr>
          <w:p>
            <w:pPr>
              <w:pStyle w:val="TableContents"/>
              <w:bidi w:val="0"/>
              <w:spacing w:before="0" w:after="283"/>
              <w:jc w:val="left"/>
              <w:rPr>
                <w:sz w:val="20"/>
              </w:rPr>
            </w:pPr>
            <w:r>
              <w:rPr>
                <w:sz w:val="20"/>
              </w:rPr>
              <w:t>5.07</w:t>
            </w:r>
          </w:p>
        </w:tc>
        <w:tc>
          <w:tcPr>
            <w:tcW w:w="4266" w:type="dxa"/>
            <w:tcBorders/>
            <w:shd w:fill="C6F4F9" w:val="clear"/>
            <w:vAlign w:val="center"/>
          </w:tcPr>
          <w:p>
            <w:pPr>
              <w:pStyle w:val="TableContents"/>
              <w:bidi w:val="0"/>
              <w:spacing w:before="0" w:after="283"/>
              <w:jc w:val="left"/>
              <w:rPr>
                <w:sz w:val="20"/>
              </w:rPr>
            </w:pPr>
            <w:r>
              <w:rPr>
                <w:sz w:val="20"/>
              </w:rPr>
              <w:t>No Default</w:t>
            </w:r>
          </w:p>
        </w:tc>
        <w:tc>
          <w:tcPr>
            <w:tcW w:w="350" w:type="dxa"/>
            <w:tcBorders/>
            <w:shd w:fill="C6F4F9" w:val="clear"/>
            <w:vAlign w:val="center"/>
          </w:tcPr>
          <w:p>
            <w:pPr>
              <w:pStyle w:val="TableContents"/>
              <w:bidi w:val="0"/>
              <w:spacing w:before="0" w:after="283"/>
              <w:jc w:val="right"/>
              <w:rPr>
                <w:sz w:val="20"/>
              </w:rPr>
            </w:pPr>
            <w:r>
              <w:rPr>
                <w:sz w:val="20"/>
              </w:rPr>
              <w:t>100</w:t>
            </w:r>
          </w:p>
        </w:tc>
      </w:tr>
      <w:tr>
        <w:trPr/>
        <w:tc>
          <w:tcPr>
            <w:tcW w:w="418" w:type="dxa"/>
            <w:tcBorders/>
            <w:shd w:fill="FFFFFF" w:val="clear"/>
            <w:vAlign w:val="center"/>
          </w:tcPr>
          <w:p>
            <w:pPr>
              <w:pStyle w:val="TableContents"/>
              <w:bidi w:val="0"/>
              <w:spacing w:before="0" w:after="283"/>
              <w:jc w:val="left"/>
              <w:rPr>
                <w:sz w:val="20"/>
              </w:rPr>
            </w:pPr>
            <w:r>
              <w:rPr>
                <w:sz w:val="20"/>
              </w:rPr>
              <w:t>5.08</w:t>
            </w:r>
          </w:p>
        </w:tc>
        <w:tc>
          <w:tcPr>
            <w:tcW w:w="4266" w:type="dxa"/>
            <w:tcBorders/>
            <w:shd w:fill="FFFFFF" w:val="clear"/>
            <w:vAlign w:val="center"/>
          </w:tcPr>
          <w:p>
            <w:pPr>
              <w:pStyle w:val="TableContents"/>
              <w:bidi w:val="0"/>
              <w:spacing w:before="0" w:after="283"/>
              <w:jc w:val="left"/>
              <w:rPr>
                <w:sz w:val="20"/>
              </w:rPr>
            </w:pPr>
            <w:r>
              <w:rPr>
                <w:sz w:val="20"/>
              </w:rPr>
              <w:t>Ownership of Property</w:t>
            </w:r>
          </w:p>
        </w:tc>
        <w:tc>
          <w:tcPr>
            <w:tcW w:w="350" w:type="dxa"/>
            <w:tcBorders/>
            <w:shd w:fill="FFFFFF" w:val="clear"/>
            <w:vAlign w:val="center"/>
          </w:tcPr>
          <w:p>
            <w:pPr>
              <w:pStyle w:val="TableContents"/>
              <w:bidi w:val="0"/>
              <w:spacing w:before="0" w:after="283"/>
              <w:jc w:val="right"/>
              <w:rPr>
                <w:sz w:val="20"/>
              </w:rPr>
            </w:pPr>
            <w:r>
              <w:rPr>
                <w:sz w:val="20"/>
              </w:rPr>
              <w:t>101</w:t>
            </w:r>
          </w:p>
        </w:tc>
      </w:tr>
      <w:tr>
        <w:trPr/>
        <w:tc>
          <w:tcPr>
            <w:tcW w:w="418" w:type="dxa"/>
            <w:tcBorders/>
            <w:shd w:fill="C6F4F9" w:val="clear"/>
            <w:vAlign w:val="center"/>
          </w:tcPr>
          <w:p>
            <w:pPr>
              <w:pStyle w:val="TableContents"/>
              <w:bidi w:val="0"/>
              <w:spacing w:before="0" w:after="283"/>
              <w:jc w:val="left"/>
              <w:rPr>
                <w:sz w:val="20"/>
              </w:rPr>
            </w:pPr>
            <w:r>
              <w:rPr>
                <w:sz w:val="20"/>
              </w:rPr>
              <w:t>5.09</w:t>
            </w:r>
          </w:p>
        </w:tc>
        <w:tc>
          <w:tcPr>
            <w:tcW w:w="4266" w:type="dxa"/>
            <w:tcBorders/>
            <w:shd w:fill="C6F4F9" w:val="clear"/>
            <w:vAlign w:val="center"/>
          </w:tcPr>
          <w:p>
            <w:pPr>
              <w:pStyle w:val="TableContents"/>
              <w:bidi w:val="0"/>
              <w:spacing w:before="0" w:after="283"/>
              <w:jc w:val="left"/>
              <w:rPr>
                <w:sz w:val="20"/>
              </w:rPr>
            </w:pPr>
            <w:r>
              <w:rPr>
                <w:sz w:val="20"/>
              </w:rPr>
              <w:t>Environmental Compliance</w:t>
            </w:r>
          </w:p>
        </w:tc>
        <w:tc>
          <w:tcPr>
            <w:tcW w:w="350" w:type="dxa"/>
            <w:tcBorders/>
            <w:shd w:fill="C6F4F9" w:val="clear"/>
            <w:vAlign w:val="center"/>
          </w:tcPr>
          <w:p>
            <w:pPr>
              <w:pStyle w:val="TableContents"/>
              <w:bidi w:val="0"/>
              <w:spacing w:before="0" w:after="283"/>
              <w:jc w:val="right"/>
              <w:rPr>
                <w:sz w:val="20"/>
              </w:rPr>
            </w:pPr>
            <w:r>
              <w:rPr>
                <w:sz w:val="20"/>
              </w:rPr>
              <w:t>101</w:t>
            </w:r>
          </w:p>
        </w:tc>
      </w:tr>
      <w:tr>
        <w:trPr/>
        <w:tc>
          <w:tcPr>
            <w:tcW w:w="418" w:type="dxa"/>
            <w:tcBorders/>
            <w:shd w:fill="FFFFFF" w:val="clear"/>
            <w:vAlign w:val="center"/>
          </w:tcPr>
          <w:p>
            <w:pPr>
              <w:pStyle w:val="TableContents"/>
              <w:bidi w:val="0"/>
              <w:spacing w:before="0" w:after="283"/>
              <w:jc w:val="left"/>
              <w:rPr>
                <w:sz w:val="20"/>
              </w:rPr>
            </w:pPr>
            <w:r>
              <w:rPr>
                <w:sz w:val="20"/>
              </w:rPr>
              <w:t>5.10</w:t>
            </w:r>
          </w:p>
        </w:tc>
        <w:tc>
          <w:tcPr>
            <w:tcW w:w="4266" w:type="dxa"/>
            <w:tcBorders/>
            <w:shd w:fill="FFFFFF" w:val="clear"/>
            <w:vAlign w:val="center"/>
          </w:tcPr>
          <w:p>
            <w:pPr>
              <w:pStyle w:val="TableContents"/>
              <w:bidi w:val="0"/>
              <w:spacing w:before="0" w:after="283"/>
              <w:jc w:val="left"/>
              <w:rPr>
                <w:sz w:val="20"/>
              </w:rPr>
            </w:pPr>
            <w:r>
              <w:rPr>
                <w:sz w:val="20"/>
              </w:rPr>
              <w:t>Insurance</w:t>
            </w:r>
          </w:p>
        </w:tc>
        <w:tc>
          <w:tcPr>
            <w:tcW w:w="350" w:type="dxa"/>
            <w:tcBorders/>
            <w:shd w:fill="FFFFFF" w:val="clear"/>
            <w:vAlign w:val="center"/>
          </w:tcPr>
          <w:p>
            <w:pPr>
              <w:pStyle w:val="TableContents"/>
              <w:bidi w:val="0"/>
              <w:spacing w:before="0" w:after="283"/>
              <w:jc w:val="right"/>
              <w:rPr>
                <w:sz w:val="20"/>
              </w:rPr>
            </w:pPr>
            <w:r>
              <w:rPr>
                <w:sz w:val="20"/>
              </w:rPr>
              <w:t>101</w:t>
            </w:r>
          </w:p>
        </w:tc>
      </w:tr>
      <w:tr>
        <w:trPr/>
        <w:tc>
          <w:tcPr>
            <w:tcW w:w="418" w:type="dxa"/>
            <w:tcBorders/>
            <w:shd w:fill="C6F4F9" w:val="clear"/>
            <w:vAlign w:val="center"/>
          </w:tcPr>
          <w:p>
            <w:pPr>
              <w:pStyle w:val="TableContents"/>
              <w:bidi w:val="0"/>
              <w:spacing w:before="0" w:after="283"/>
              <w:jc w:val="left"/>
              <w:rPr>
                <w:sz w:val="20"/>
              </w:rPr>
            </w:pPr>
            <w:r>
              <w:rPr>
                <w:sz w:val="20"/>
              </w:rPr>
              <w:t>5.11</w:t>
            </w:r>
          </w:p>
        </w:tc>
        <w:tc>
          <w:tcPr>
            <w:tcW w:w="4266" w:type="dxa"/>
            <w:tcBorders/>
            <w:shd w:fill="C6F4F9" w:val="clear"/>
            <w:vAlign w:val="center"/>
          </w:tcPr>
          <w:p>
            <w:pPr>
              <w:pStyle w:val="TableContents"/>
              <w:bidi w:val="0"/>
              <w:spacing w:before="0" w:after="283"/>
              <w:jc w:val="left"/>
              <w:rPr>
                <w:sz w:val="20"/>
              </w:rPr>
            </w:pPr>
            <w:r>
              <w:rPr>
                <w:sz w:val="20"/>
              </w:rPr>
              <w:t>Taxes</w:t>
            </w:r>
          </w:p>
        </w:tc>
        <w:tc>
          <w:tcPr>
            <w:tcW w:w="350" w:type="dxa"/>
            <w:tcBorders/>
            <w:shd w:fill="C6F4F9" w:val="clear"/>
            <w:vAlign w:val="center"/>
          </w:tcPr>
          <w:p>
            <w:pPr>
              <w:pStyle w:val="TableContents"/>
              <w:bidi w:val="0"/>
              <w:spacing w:before="0" w:after="283"/>
              <w:jc w:val="right"/>
              <w:rPr>
                <w:sz w:val="20"/>
              </w:rPr>
            </w:pPr>
            <w:r>
              <w:rPr>
                <w:sz w:val="20"/>
              </w:rPr>
              <w:t>101</w:t>
            </w:r>
          </w:p>
        </w:tc>
      </w:tr>
      <w:tr>
        <w:trPr/>
        <w:tc>
          <w:tcPr>
            <w:tcW w:w="418" w:type="dxa"/>
            <w:tcBorders/>
            <w:shd w:fill="FFFFFF" w:val="clear"/>
            <w:vAlign w:val="center"/>
          </w:tcPr>
          <w:p>
            <w:pPr>
              <w:pStyle w:val="TableContents"/>
              <w:bidi w:val="0"/>
              <w:spacing w:before="0" w:after="283"/>
              <w:jc w:val="left"/>
              <w:rPr>
                <w:sz w:val="20"/>
              </w:rPr>
            </w:pPr>
            <w:r>
              <w:rPr>
                <w:sz w:val="20"/>
              </w:rPr>
              <w:t>5.12</w:t>
            </w:r>
          </w:p>
        </w:tc>
        <w:tc>
          <w:tcPr>
            <w:tcW w:w="4266" w:type="dxa"/>
            <w:tcBorders/>
            <w:shd w:fill="FFFFFF" w:val="clear"/>
            <w:vAlign w:val="center"/>
          </w:tcPr>
          <w:p>
            <w:pPr>
              <w:pStyle w:val="TableContents"/>
              <w:bidi w:val="0"/>
              <w:spacing w:before="0" w:after="283"/>
              <w:jc w:val="left"/>
              <w:rPr>
                <w:sz w:val="20"/>
              </w:rPr>
            </w:pPr>
            <w:r>
              <w:rPr>
                <w:sz w:val="20"/>
              </w:rPr>
              <w:t>ERISA Compliance</w:t>
            </w:r>
          </w:p>
        </w:tc>
        <w:tc>
          <w:tcPr>
            <w:tcW w:w="350" w:type="dxa"/>
            <w:tcBorders/>
            <w:shd w:fill="FFFFFF" w:val="clear"/>
            <w:vAlign w:val="center"/>
          </w:tcPr>
          <w:p>
            <w:pPr>
              <w:pStyle w:val="TableContents"/>
              <w:bidi w:val="0"/>
              <w:spacing w:before="0" w:after="283"/>
              <w:jc w:val="right"/>
              <w:rPr>
                <w:sz w:val="20"/>
              </w:rPr>
            </w:pPr>
            <w:r>
              <w:rPr>
                <w:sz w:val="20"/>
              </w:rPr>
              <w:t>102</w:t>
            </w:r>
          </w:p>
        </w:tc>
      </w:tr>
      <w:tr>
        <w:trPr/>
        <w:tc>
          <w:tcPr>
            <w:tcW w:w="418" w:type="dxa"/>
            <w:tcBorders/>
            <w:shd w:fill="C6F4F9" w:val="clear"/>
            <w:vAlign w:val="center"/>
          </w:tcPr>
          <w:p>
            <w:pPr>
              <w:pStyle w:val="TableContents"/>
              <w:bidi w:val="0"/>
              <w:spacing w:before="0" w:after="283"/>
              <w:jc w:val="left"/>
              <w:rPr>
                <w:sz w:val="20"/>
              </w:rPr>
            </w:pPr>
            <w:r>
              <w:rPr>
                <w:sz w:val="20"/>
              </w:rPr>
              <w:t>5.13</w:t>
            </w:r>
          </w:p>
        </w:tc>
        <w:tc>
          <w:tcPr>
            <w:tcW w:w="4266" w:type="dxa"/>
            <w:tcBorders/>
            <w:shd w:fill="C6F4F9" w:val="clear"/>
            <w:vAlign w:val="center"/>
          </w:tcPr>
          <w:p>
            <w:pPr>
              <w:pStyle w:val="TableContents"/>
              <w:bidi w:val="0"/>
              <w:spacing w:before="0" w:after="283"/>
              <w:jc w:val="left"/>
              <w:rPr>
                <w:sz w:val="20"/>
              </w:rPr>
            </w:pPr>
            <w:r>
              <w:rPr>
                <w:sz w:val="20"/>
              </w:rPr>
              <w:t>Margin Regulations; Investment Company Act</w:t>
            </w:r>
          </w:p>
        </w:tc>
        <w:tc>
          <w:tcPr>
            <w:tcW w:w="350" w:type="dxa"/>
            <w:tcBorders/>
            <w:shd w:fill="C6F4F9" w:val="clear"/>
            <w:vAlign w:val="center"/>
          </w:tcPr>
          <w:p>
            <w:pPr>
              <w:pStyle w:val="TableContents"/>
              <w:bidi w:val="0"/>
              <w:spacing w:before="0" w:after="283"/>
              <w:jc w:val="right"/>
              <w:rPr>
                <w:sz w:val="20"/>
              </w:rPr>
            </w:pPr>
            <w:r>
              <w:rPr>
                <w:sz w:val="20"/>
              </w:rPr>
              <w:t>103</w:t>
            </w:r>
          </w:p>
        </w:tc>
      </w:tr>
      <w:tr>
        <w:trPr/>
        <w:tc>
          <w:tcPr>
            <w:tcW w:w="418" w:type="dxa"/>
            <w:tcBorders/>
            <w:shd w:fill="FFFFFF" w:val="clear"/>
            <w:vAlign w:val="center"/>
          </w:tcPr>
          <w:p>
            <w:pPr>
              <w:pStyle w:val="TableContents"/>
              <w:bidi w:val="0"/>
              <w:spacing w:before="0" w:after="283"/>
              <w:jc w:val="left"/>
              <w:rPr>
                <w:sz w:val="20"/>
              </w:rPr>
            </w:pPr>
            <w:r>
              <w:rPr>
                <w:sz w:val="20"/>
              </w:rPr>
              <w:t>5.14</w:t>
            </w:r>
          </w:p>
        </w:tc>
        <w:tc>
          <w:tcPr>
            <w:tcW w:w="4266" w:type="dxa"/>
            <w:tcBorders/>
            <w:shd w:fill="FFFFFF" w:val="clear"/>
            <w:vAlign w:val="center"/>
          </w:tcPr>
          <w:p>
            <w:pPr>
              <w:pStyle w:val="TableContents"/>
              <w:bidi w:val="0"/>
              <w:spacing w:before="0" w:after="283"/>
              <w:jc w:val="left"/>
              <w:rPr>
                <w:sz w:val="20"/>
              </w:rPr>
            </w:pPr>
            <w:r>
              <w:rPr>
                <w:sz w:val="20"/>
              </w:rPr>
              <w:t>Disclosure</w:t>
            </w:r>
          </w:p>
        </w:tc>
        <w:tc>
          <w:tcPr>
            <w:tcW w:w="350" w:type="dxa"/>
            <w:tcBorders/>
            <w:shd w:fill="FFFFFF" w:val="clear"/>
            <w:vAlign w:val="center"/>
          </w:tcPr>
          <w:p>
            <w:pPr>
              <w:pStyle w:val="TableContents"/>
              <w:bidi w:val="0"/>
              <w:spacing w:before="0" w:after="283"/>
              <w:jc w:val="right"/>
              <w:rPr>
                <w:sz w:val="20"/>
              </w:rPr>
            </w:pPr>
            <w:r>
              <w:rPr>
                <w:sz w:val="20"/>
              </w:rPr>
              <w:t>103</w:t>
            </w:r>
          </w:p>
        </w:tc>
      </w:tr>
      <w:tr>
        <w:trPr/>
        <w:tc>
          <w:tcPr>
            <w:tcW w:w="418" w:type="dxa"/>
            <w:tcBorders/>
            <w:shd w:fill="C6F4F9" w:val="clear"/>
            <w:vAlign w:val="center"/>
          </w:tcPr>
          <w:p>
            <w:pPr>
              <w:pStyle w:val="TableContents"/>
              <w:bidi w:val="0"/>
              <w:spacing w:before="0" w:after="283"/>
              <w:jc w:val="left"/>
              <w:rPr>
                <w:sz w:val="20"/>
              </w:rPr>
            </w:pPr>
            <w:r>
              <w:rPr>
                <w:sz w:val="20"/>
              </w:rPr>
              <w:t>5.15</w:t>
            </w:r>
          </w:p>
        </w:tc>
        <w:tc>
          <w:tcPr>
            <w:tcW w:w="4266" w:type="dxa"/>
            <w:tcBorders/>
            <w:shd w:fill="C6F4F9" w:val="clear"/>
            <w:vAlign w:val="center"/>
          </w:tcPr>
          <w:p>
            <w:pPr>
              <w:pStyle w:val="TableContents"/>
              <w:bidi w:val="0"/>
              <w:spacing w:before="0" w:after="283"/>
              <w:jc w:val="left"/>
              <w:rPr>
                <w:sz w:val="20"/>
              </w:rPr>
            </w:pPr>
            <w:r>
              <w:rPr>
                <w:sz w:val="20"/>
              </w:rPr>
              <w:t>Compliance with Laws</w:t>
            </w:r>
          </w:p>
        </w:tc>
        <w:tc>
          <w:tcPr>
            <w:tcW w:w="350" w:type="dxa"/>
            <w:tcBorders/>
            <w:shd w:fill="C6F4F9" w:val="clear"/>
            <w:vAlign w:val="center"/>
          </w:tcPr>
          <w:p>
            <w:pPr>
              <w:pStyle w:val="TableContents"/>
              <w:bidi w:val="0"/>
              <w:spacing w:before="0" w:after="283"/>
              <w:jc w:val="right"/>
              <w:rPr>
                <w:sz w:val="20"/>
              </w:rPr>
            </w:pPr>
            <w:r>
              <w:rPr>
                <w:sz w:val="20"/>
              </w:rPr>
              <w:t>103</w:t>
            </w:r>
          </w:p>
        </w:tc>
      </w:tr>
      <w:tr>
        <w:trPr/>
        <w:tc>
          <w:tcPr>
            <w:tcW w:w="418" w:type="dxa"/>
            <w:tcBorders/>
            <w:shd w:fill="FFFFFF" w:val="clear"/>
            <w:vAlign w:val="center"/>
          </w:tcPr>
          <w:p>
            <w:pPr>
              <w:pStyle w:val="TableContents"/>
              <w:bidi w:val="0"/>
              <w:spacing w:before="0" w:after="283"/>
              <w:jc w:val="left"/>
              <w:rPr>
                <w:sz w:val="20"/>
              </w:rPr>
            </w:pPr>
            <w:r>
              <w:rPr>
                <w:sz w:val="20"/>
              </w:rPr>
              <w:t>5.16</w:t>
            </w:r>
          </w:p>
        </w:tc>
        <w:tc>
          <w:tcPr>
            <w:tcW w:w="4266" w:type="dxa"/>
            <w:tcBorders/>
            <w:shd w:fill="FFFFFF" w:val="clear"/>
            <w:vAlign w:val="center"/>
          </w:tcPr>
          <w:p>
            <w:pPr>
              <w:pStyle w:val="TableContents"/>
              <w:bidi w:val="0"/>
              <w:spacing w:before="0" w:after="283"/>
              <w:jc w:val="left"/>
              <w:rPr>
                <w:sz w:val="20"/>
              </w:rPr>
            </w:pPr>
            <w:r>
              <w:rPr>
                <w:sz w:val="20"/>
              </w:rPr>
              <w:t>Solvency</w:t>
            </w:r>
          </w:p>
        </w:tc>
        <w:tc>
          <w:tcPr>
            <w:tcW w:w="350" w:type="dxa"/>
            <w:tcBorders/>
            <w:shd w:fill="FFFFFF" w:val="clear"/>
            <w:vAlign w:val="center"/>
          </w:tcPr>
          <w:p>
            <w:pPr>
              <w:pStyle w:val="TableContents"/>
              <w:bidi w:val="0"/>
              <w:spacing w:before="0" w:after="283"/>
              <w:jc w:val="right"/>
              <w:rPr>
                <w:sz w:val="20"/>
              </w:rPr>
            </w:pPr>
            <w:r>
              <w:rPr>
                <w:sz w:val="20"/>
              </w:rPr>
              <w:t>103</w:t>
            </w:r>
          </w:p>
        </w:tc>
      </w:tr>
      <w:tr>
        <w:trPr/>
        <w:tc>
          <w:tcPr>
            <w:tcW w:w="418" w:type="dxa"/>
            <w:tcBorders/>
            <w:shd w:fill="C6F4F9" w:val="clear"/>
            <w:vAlign w:val="center"/>
          </w:tcPr>
          <w:p>
            <w:pPr>
              <w:pStyle w:val="TableContents"/>
              <w:bidi w:val="0"/>
              <w:spacing w:before="0" w:after="283"/>
              <w:jc w:val="left"/>
              <w:rPr>
                <w:sz w:val="20"/>
              </w:rPr>
            </w:pPr>
            <w:r>
              <w:rPr>
                <w:sz w:val="20"/>
              </w:rPr>
              <w:t>5.17</w:t>
            </w:r>
          </w:p>
        </w:tc>
        <w:tc>
          <w:tcPr>
            <w:tcW w:w="4266" w:type="dxa"/>
            <w:tcBorders/>
            <w:shd w:fill="C6F4F9" w:val="clear"/>
            <w:vAlign w:val="center"/>
          </w:tcPr>
          <w:p>
            <w:pPr>
              <w:pStyle w:val="TableContents"/>
              <w:bidi w:val="0"/>
              <w:spacing w:before="0" w:after="283"/>
              <w:jc w:val="left"/>
              <w:rPr>
                <w:sz w:val="20"/>
              </w:rPr>
            </w:pPr>
            <w:r>
              <w:rPr>
                <w:sz w:val="20"/>
              </w:rPr>
              <w:t>Casualty, Etc</w:t>
            </w:r>
          </w:p>
        </w:tc>
        <w:tc>
          <w:tcPr>
            <w:tcW w:w="350" w:type="dxa"/>
            <w:tcBorders/>
            <w:shd w:fill="C6F4F9" w:val="clear"/>
            <w:vAlign w:val="center"/>
          </w:tcPr>
          <w:p>
            <w:pPr>
              <w:pStyle w:val="TableContents"/>
              <w:bidi w:val="0"/>
              <w:spacing w:before="0" w:after="283"/>
              <w:jc w:val="right"/>
              <w:rPr>
                <w:sz w:val="20"/>
              </w:rPr>
            </w:pPr>
            <w:r>
              <w:rPr>
                <w:sz w:val="20"/>
              </w:rPr>
              <w:t>104</w:t>
            </w:r>
          </w:p>
        </w:tc>
      </w:tr>
      <w:tr>
        <w:trPr/>
        <w:tc>
          <w:tcPr>
            <w:tcW w:w="418" w:type="dxa"/>
            <w:tcBorders/>
            <w:shd w:fill="FFFFFF" w:val="clear"/>
            <w:vAlign w:val="center"/>
          </w:tcPr>
          <w:p>
            <w:pPr>
              <w:pStyle w:val="TableContents"/>
              <w:bidi w:val="0"/>
              <w:spacing w:before="0" w:after="283"/>
              <w:jc w:val="left"/>
              <w:rPr>
                <w:sz w:val="20"/>
              </w:rPr>
            </w:pPr>
            <w:r>
              <w:rPr>
                <w:sz w:val="20"/>
              </w:rPr>
              <w:t>5.18</w:t>
            </w:r>
          </w:p>
        </w:tc>
        <w:tc>
          <w:tcPr>
            <w:tcW w:w="4266" w:type="dxa"/>
            <w:tcBorders/>
            <w:shd w:fill="FFFFFF" w:val="clear"/>
            <w:vAlign w:val="center"/>
          </w:tcPr>
          <w:p>
            <w:pPr>
              <w:pStyle w:val="TableContents"/>
              <w:bidi w:val="0"/>
              <w:spacing w:before="0" w:after="283"/>
              <w:jc w:val="left"/>
              <w:rPr>
                <w:sz w:val="20"/>
              </w:rPr>
            </w:pPr>
            <w:r>
              <w:rPr>
                <w:sz w:val="20"/>
              </w:rPr>
              <w:t>Sanctions Concerns and Anti-Corruption Laws</w:t>
            </w:r>
          </w:p>
        </w:tc>
        <w:tc>
          <w:tcPr>
            <w:tcW w:w="350" w:type="dxa"/>
            <w:tcBorders/>
            <w:shd w:fill="FFFFFF" w:val="clear"/>
            <w:vAlign w:val="center"/>
          </w:tcPr>
          <w:p>
            <w:pPr>
              <w:pStyle w:val="TableContents"/>
              <w:bidi w:val="0"/>
              <w:spacing w:before="0" w:after="283"/>
              <w:jc w:val="right"/>
              <w:rPr>
                <w:sz w:val="20"/>
              </w:rPr>
            </w:pPr>
            <w:r>
              <w:rPr>
                <w:sz w:val="20"/>
              </w:rPr>
              <w:t>104</w:t>
            </w:r>
          </w:p>
        </w:tc>
      </w:tr>
      <w:tr>
        <w:trPr/>
        <w:tc>
          <w:tcPr>
            <w:tcW w:w="418" w:type="dxa"/>
            <w:tcBorders/>
            <w:shd w:fill="C6F4F9" w:val="clear"/>
            <w:vAlign w:val="center"/>
          </w:tcPr>
          <w:p>
            <w:pPr>
              <w:pStyle w:val="TableContents"/>
              <w:bidi w:val="0"/>
              <w:spacing w:before="0" w:after="283"/>
              <w:jc w:val="left"/>
              <w:rPr>
                <w:sz w:val="20"/>
              </w:rPr>
            </w:pPr>
            <w:r>
              <w:rPr>
                <w:sz w:val="20"/>
              </w:rPr>
              <w:t>5.19</w:t>
            </w:r>
          </w:p>
        </w:tc>
        <w:tc>
          <w:tcPr>
            <w:tcW w:w="4266" w:type="dxa"/>
            <w:tcBorders/>
            <w:shd w:fill="C6F4F9" w:val="clear"/>
            <w:vAlign w:val="center"/>
          </w:tcPr>
          <w:p>
            <w:pPr>
              <w:pStyle w:val="TableContents"/>
              <w:bidi w:val="0"/>
              <w:spacing w:before="0" w:after="283"/>
              <w:jc w:val="left"/>
              <w:rPr>
                <w:sz w:val="20"/>
              </w:rPr>
            </w:pPr>
            <w:r>
              <w:rPr>
                <w:sz w:val="20"/>
              </w:rPr>
              <w:t>Responsible Officers</w:t>
            </w:r>
          </w:p>
        </w:tc>
        <w:tc>
          <w:tcPr>
            <w:tcW w:w="350" w:type="dxa"/>
            <w:tcBorders/>
            <w:shd w:fill="C6F4F9" w:val="clear"/>
            <w:vAlign w:val="center"/>
          </w:tcPr>
          <w:p>
            <w:pPr>
              <w:pStyle w:val="TableContents"/>
              <w:bidi w:val="0"/>
              <w:spacing w:before="0" w:after="283"/>
              <w:jc w:val="right"/>
              <w:rPr>
                <w:sz w:val="20"/>
              </w:rPr>
            </w:pPr>
            <w:r>
              <w:rPr>
                <w:sz w:val="20"/>
              </w:rPr>
              <w:t>104</w:t>
            </w:r>
          </w:p>
        </w:tc>
      </w:tr>
      <w:tr>
        <w:trPr/>
        <w:tc>
          <w:tcPr>
            <w:tcW w:w="418" w:type="dxa"/>
            <w:tcBorders/>
            <w:shd w:fill="FFFFFF" w:val="clear"/>
            <w:vAlign w:val="center"/>
          </w:tcPr>
          <w:p>
            <w:pPr>
              <w:pStyle w:val="TableContents"/>
              <w:bidi w:val="0"/>
              <w:spacing w:before="0" w:after="283"/>
              <w:jc w:val="left"/>
              <w:rPr>
                <w:sz w:val="20"/>
              </w:rPr>
            </w:pPr>
            <w:r>
              <w:rPr>
                <w:sz w:val="20"/>
              </w:rPr>
              <w:t>5.20</w:t>
            </w:r>
          </w:p>
        </w:tc>
        <w:tc>
          <w:tcPr>
            <w:tcW w:w="4266" w:type="dxa"/>
            <w:tcBorders/>
            <w:shd w:fill="FFFFFF" w:val="clear"/>
            <w:vAlign w:val="center"/>
          </w:tcPr>
          <w:p>
            <w:pPr>
              <w:pStyle w:val="TableContents"/>
              <w:bidi w:val="0"/>
              <w:spacing w:before="0" w:after="283"/>
              <w:jc w:val="left"/>
              <w:rPr>
                <w:sz w:val="20"/>
              </w:rPr>
            </w:pPr>
            <w:r>
              <w:rPr>
                <w:sz w:val="20"/>
              </w:rPr>
              <w:t>Subsidiaries; Equity Interests; Loan Parties</w:t>
            </w:r>
          </w:p>
        </w:tc>
        <w:tc>
          <w:tcPr>
            <w:tcW w:w="350" w:type="dxa"/>
            <w:tcBorders/>
            <w:shd w:fill="FFFFFF" w:val="clear"/>
            <w:vAlign w:val="center"/>
          </w:tcPr>
          <w:p>
            <w:pPr>
              <w:pStyle w:val="TableContents"/>
              <w:bidi w:val="0"/>
              <w:spacing w:before="0" w:after="283"/>
              <w:jc w:val="right"/>
              <w:rPr>
                <w:sz w:val="20"/>
              </w:rPr>
            </w:pPr>
            <w:r>
              <w:rPr>
                <w:sz w:val="20"/>
              </w:rPr>
              <w:t>104</w:t>
            </w:r>
          </w:p>
        </w:tc>
      </w:tr>
      <w:tr>
        <w:trPr/>
        <w:tc>
          <w:tcPr>
            <w:tcW w:w="418" w:type="dxa"/>
            <w:tcBorders/>
            <w:shd w:fill="C6F4F9" w:val="clear"/>
            <w:vAlign w:val="center"/>
          </w:tcPr>
          <w:p>
            <w:pPr>
              <w:pStyle w:val="TableContents"/>
              <w:bidi w:val="0"/>
              <w:spacing w:before="0" w:after="283"/>
              <w:jc w:val="left"/>
              <w:rPr>
                <w:sz w:val="20"/>
              </w:rPr>
            </w:pPr>
            <w:r>
              <w:rPr>
                <w:sz w:val="20"/>
              </w:rPr>
              <w:t>5.21</w:t>
            </w:r>
          </w:p>
        </w:tc>
        <w:tc>
          <w:tcPr>
            <w:tcW w:w="4266" w:type="dxa"/>
            <w:tcBorders/>
            <w:shd w:fill="C6F4F9" w:val="clear"/>
            <w:vAlign w:val="center"/>
          </w:tcPr>
          <w:p>
            <w:pPr>
              <w:pStyle w:val="TableContents"/>
              <w:bidi w:val="0"/>
              <w:spacing w:before="0" w:after="283"/>
              <w:jc w:val="left"/>
              <w:rPr>
                <w:sz w:val="20"/>
              </w:rPr>
            </w:pPr>
            <w:r>
              <w:rPr>
                <w:sz w:val="20"/>
              </w:rPr>
              <w:t>Collateral Representations</w:t>
            </w:r>
          </w:p>
        </w:tc>
        <w:tc>
          <w:tcPr>
            <w:tcW w:w="350" w:type="dxa"/>
            <w:tcBorders/>
            <w:shd w:fill="C6F4F9" w:val="clear"/>
            <w:vAlign w:val="center"/>
          </w:tcPr>
          <w:p>
            <w:pPr>
              <w:pStyle w:val="TableContents"/>
              <w:bidi w:val="0"/>
              <w:spacing w:before="0" w:after="283"/>
              <w:jc w:val="right"/>
              <w:rPr>
                <w:sz w:val="20"/>
              </w:rPr>
            </w:pPr>
            <w:r>
              <w:rPr>
                <w:sz w:val="20"/>
              </w:rPr>
              <w:t>105</w:t>
            </w:r>
          </w:p>
        </w:tc>
      </w:tr>
      <w:tr>
        <w:trPr/>
        <w:tc>
          <w:tcPr>
            <w:tcW w:w="418" w:type="dxa"/>
            <w:tcBorders/>
            <w:shd w:fill="FFFFFF" w:val="clear"/>
            <w:vAlign w:val="center"/>
          </w:tcPr>
          <w:p>
            <w:pPr>
              <w:pStyle w:val="TableContents"/>
              <w:bidi w:val="0"/>
              <w:spacing w:before="0" w:after="283"/>
              <w:jc w:val="left"/>
              <w:rPr>
                <w:sz w:val="20"/>
              </w:rPr>
            </w:pPr>
            <w:r>
              <w:rPr>
                <w:sz w:val="20"/>
              </w:rPr>
              <w:t>5.22</w:t>
            </w:r>
          </w:p>
        </w:tc>
        <w:tc>
          <w:tcPr>
            <w:tcW w:w="4266" w:type="dxa"/>
            <w:tcBorders/>
            <w:shd w:fill="FFFFFF" w:val="clear"/>
            <w:vAlign w:val="center"/>
          </w:tcPr>
          <w:p>
            <w:pPr>
              <w:pStyle w:val="TableContents"/>
              <w:bidi w:val="0"/>
              <w:spacing w:before="0" w:after="283"/>
              <w:jc w:val="left"/>
              <w:rPr>
                <w:sz w:val="20"/>
              </w:rPr>
            </w:pPr>
            <w:r>
              <w:rPr>
                <w:sz w:val="20"/>
              </w:rPr>
              <w:t>Intellectual Property; Licenses, Etc</w:t>
            </w:r>
          </w:p>
        </w:tc>
        <w:tc>
          <w:tcPr>
            <w:tcW w:w="350" w:type="dxa"/>
            <w:tcBorders/>
            <w:shd w:fill="FFFFFF" w:val="clear"/>
            <w:vAlign w:val="center"/>
          </w:tcPr>
          <w:p>
            <w:pPr>
              <w:pStyle w:val="TableContents"/>
              <w:bidi w:val="0"/>
              <w:spacing w:before="0" w:after="283"/>
              <w:jc w:val="right"/>
              <w:rPr>
                <w:sz w:val="20"/>
              </w:rPr>
            </w:pPr>
            <w:r>
              <w:rPr>
                <w:sz w:val="20"/>
              </w:rPr>
              <w:t>106</w:t>
            </w:r>
          </w:p>
        </w:tc>
      </w:tr>
      <w:tr>
        <w:trPr/>
        <w:tc>
          <w:tcPr>
            <w:tcW w:w="418" w:type="dxa"/>
            <w:tcBorders/>
            <w:shd w:fill="C6F4F9" w:val="clear"/>
            <w:vAlign w:val="center"/>
          </w:tcPr>
          <w:p>
            <w:pPr>
              <w:pStyle w:val="TableContents"/>
              <w:bidi w:val="0"/>
              <w:spacing w:before="0" w:after="283"/>
              <w:jc w:val="left"/>
              <w:rPr>
                <w:sz w:val="20"/>
              </w:rPr>
            </w:pPr>
            <w:r>
              <w:rPr>
                <w:sz w:val="20"/>
              </w:rPr>
              <w:t>5.23</w:t>
            </w:r>
          </w:p>
        </w:tc>
        <w:tc>
          <w:tcPr>
            <w:tcW w:w="4266" w:type="dxa"/>
            <w:tcBorders/>
            <w:shd w:fill="C6F4F9" w:val="clear"/>
            <w:vAlign w:val="center"/>
          </w:tcPr>
          <w:p>
            <w:pPr>
              <w:pStyle w:val="TableContents"/>
              <w:bidi w:val="0"/>
              <w:spacing w:before="0" w:after="283"/>
              <w:jc w:val="left"/>
              <w:rPr>
                <w:sz w:val="20"/>
              </w:rPr>
            </w:pPr>
            <w:r>
              <w:rPr>
                <w:sz w:val="20"/>
              </w:rPr>
              <w:t>Labor Matters</w:t>
            </w:r>
          </w:p>
        </w:tc>
        <w:tc>
          <w:tcPr>
            <w:tcW w:w="350" w:type="dxa"/>
            <w:tcBorders/>
            <w:shd w:fill="C6F4F9" w:val="clear"/>
            <w:vAlign w:val="center"/>
          </w:tcPr>
          <w:p>
            <w:pPr>
              <w:pStyle w:val="TableContents"/>
              <w:bidi w:val="0"/>
              <w:spacing w:before="0" w:after="283"/>
              <w:jc w:val="right"/>
              <w:rPr>
                <w:sz w:val="20"/>
              </w:rPr>
            </w:pPr>
            <w:r>
              <w:rPr>
                <w:sz w:val="20"/>
              </w:rPr>
              <w:t>106</w:t>
            </w:r>
          </w:p>
        </w:tc>
      </w:tr>
      <w:tr>
        <w:trPr/>
        <w:tc>
          <w:tcPr>
            <w:tcW w:w="418" w:type="dxa"/>
            <w:tcBorders/>
            <w:shd w:fill="FFFFFF" w:val="clear"/>
            <w:vAlign w:val="center"/>
          </w:tcPr>
          <w:p>
            <w:pPr>
              <w:pStyle w:val="TableContents"/>
              <w:bidi w:val="0"/>
              <w:spacing w:before="0" w:after="283"/>
              <w:jc w:val="left"/>
              <w:rPr>
                <w:sz w:val="20"/>
              </w:rPr>
            </w:pPr>
            <w:r>
              <w:rPr>
                <w:sz w:val="20"/>
              </w:rPr>
              <w:t>5.24</w:t>
            </w:r>
          </w:p>
        </w:tc>
        <w:tc>
          <w:tcPr>
            <w:tcW w:w="4266" w:type="dxa"/>
            <w:tcBorders/>
            <w:shd w:fill="FFFFFF" w:val="clear"/>
            <w:vAlign w:val="center"/>
          </w:tcPr>
          <w:p>
            <w:pPr>
              <w:pStyle w:val="TableContents"/>
              <w:bidi w:val="0"/>
              <w:spacing w:before="0" w:after="283"/>
              <w:jc w:val="left"/>
              <w:rPr>
                <w:sz w:val="20"/>
              </w:rPr>
            </w:pPr>
            <w:r>
              <w:rPr>
                <w:sz w:val="20"/>
              </w:rPr>
              <w:t>Beneficial Ownership Certification</w:t>
            </w:r>
          </w:p>
        </w:tc>
        <w:tc>
          <w:tcPr>
            <w:tcW w:w="350" w:type="dxa"/>
            <w:tcBorders/>
            <w:shd w:fill="FFFFFF" w:val="clear"/>
            <w:vAlign w:val="center"/>
          </w:tcPr>
          <w:p>
            <w:pPr>
              <w:pStyle w:val="TableContents"/>
              <w:bidi w:val="0"/>
              <w:spacing w:before="0" w:after="283"/>
              <w:jc w:val="right"/>
              <w:rPr>
                <w:sz w:val="20"/>
              </w:rPr>
            </w:pPr>
            <w:r>
              <w:rPr>
                <w:sz w:val="20"/>
              </w:rPr>
              <w:t>106</w:t>
            </w:r>
          </w:p>
        </w:tc>
      </w:tr>
      <w:tr>
        <w:trPr/>
        <w:tc>
          <w:tcPr>
            <w:tcW w:w="418" w:type="dxa"/>
            <w:tcBorders/>
            <w:shd w:fill="C6F4F9" w:val="clear"/>
            <w:vAlign w:val="center"/>
          </w:tcPr>
          <w:p>
            <w:pPr>
              <w:pStyle w:val="TableContents"/>
              <w:bidi w:val="0"/>
              <w:spacing w:before="0" w:after="283"/>
              <w:jc w:val="left"/>
              <w:rPr>
                <w:sz w:val="20"/>
              </w:rPr>
            </w:pPr>
            <w:r>
              <w:rPr>
                <w:sz w:val="20"/>
              </w:rPr>
              <w:t>5.25</w:t>
            </w:r>
          </w:p>
        </w:tc>
        <w:tc>
          <w:tcPr>
            <w:tcW w:w="4266" w:type="dxa"/>
            <w:tcBorders/>
            <w:shd w:fill="C6F4F9" w:val="clear"/>
            <w:vAlign w:val="center"/>
          </w:tcPr>
          <w:p>
            <w:pPr>
              <w:pStyle w:val="TableContents"/>
              <w:bidi w:val="0"/>
              <w:spacing w:before="0" w:after="283"/>
              <w:jc w:val="left"/>
              <w:rPr>
                <w:sz w:val="20"/>
              </w:rPr>
            </w:pPr>
            <w:r>
              <w:rPr>
                <w:sz w:val="20"/>
              </w:rPr>
              <w:t>Affected Financial Institutions; Covered Entities</w:t>
            </w:r>
          </w:p>
        </w:tc>
        <w:tc>
          <w:tcPr>
            <w:tcW w:w="350" w:type="dxa"/>
            <w:tcBorders/>
            <w:shd w:fill="C6F4F9" w:val="clear"/>
            <w:vAlign w:val="center"/>
          </w:tcPr>
          <w:p>
            <w:pPr>
              <w:pStyle w:val="TableContents"/>
              <w:bidi w:val="0"/>
              <w:spacing w:before="0" w:after="283"/>
              <w:jc w:val="right"/>
              <w:rPr>
                <w:sz w:val="20"/>
              </w:rPr>
            </w:pPr>
            <w:r>
              <w:rPr>
                <w:sz w:val="20"/>
              </w:rPr>
              <w:t>106</w:t>
            </w:r>
          </w:p>
        </w:tc>
      </w:tr>
      <w:tr>
        <w:trPr/>
        <w:tc>
          <w:tcPr>
            <w:tcW w:w="418" w:type="dxa"/>
            <w:tcBorders/>
            <w:shd w:fill="FFFFFF" w:val="clear"/>
            <w:vAlign w:val="center"/>
          </w:tcPr>
          <w:p>
            <w:pPr>
              <w:pStyle w:val="TableContents"/>
              <w:bidi w:val="0"/>
              <w:spacing w:before="0" w:after="283"/>
              <w:jc w:val="left"/>
              <w:rPr>
                <w:sz w:val="20"/>
              </w:rPr>
            </w:pPr>
            <w:r>
              <w:rPr>
                <w:sz w:val="20"/>
              </w:rPr>
              <w:t>5.26</w:t>
            </w:r>
          </w:p>
        </w:tc>
        <w:tc>
          <w:tcPr>
            <w:tcW w:w="4266" w:type="dxa"/>
            <w:tcBorders/>
            <w:shd w:fill="FFFFFF" w:val="clear"/>
            <w:vAlign w:val="center"/>
          </w:tcPr>
          <w:p>
            <w:pPr>
              <w:pStyle w:val="TableContents"/>
              <w:bidi w:val="0"/>
              <w:spacing w:before="0" w:after="283"/>
              <w:jc w:val="left"/>
              <w:rPr>
                <w:sz w:val="20"/>
              </w:rPr>
            </w:pPr>
            <w:r>
              <w:rPr>
                <w:sz w:val="20"/>
              </w:rPr>
              <w:t>Representations as to Foreign Obligors</w:t>
            </w:r>
          </w:p>
        </w:tc>
        <w:tc>
          <w:tcPr>
            <w:tcW w:w="350" w:type="dxa"/>
            <w:tcBorders/>
            <w:shd w:fill="FFFFFF" w:val="clear"/>
            <w:vAlign w:val="center"/>
          </w:tcPr>
          <w:p>
            <w:pPr>
              <w:pStyle w:val="TableContents"/>
              <w:bidi w:val="0"/>
              <w:spacing w:before="0" w:after="283"/>
              <w:jc w:val="right"/>
              <w:rPr>
                <w:sz w:val="20"/>
              </w:rPr>
            </w:pPr>
            <w:r>
              <w:rPr>
                <w:sz w:val="20"/>
              </w:rPr>
              <w:t>106</w:t>
            </w:r>
          </w:p>
        </w:tc>
      </w:tr>
      <w:tr>
        <w:trPr/>
        <w:tc>
          <w:tcPr>
            <w:tcW w:w="418" w:type="dxa"/>
            <w:tcBorders/>
            <w:shd w:fill="C6F4F9" w:val="clear"/>
            <w:vAlign w:val="center"/>
          </w:tcPr>
          <w:p>
            <w:pPr>
              <w:pStyle w:val="TableContents"/>
              <w:bidi w:val="0"/>
              <w:spacing w:before="0" w:after="283"/>
              <w:jc w:val="left"/>
              <w:rPr>
                <w:color w:val="0000FF"/>
                <w:sz w:val="20"/>
                <w:u w:val="single"/>
              </w:rPr>
            </w:pPr>
            <w:r>
              <w:rPr>
                <w:color w:val="0000FF"/>
                <w:sz w:val="20"/>
                <w:u w:val="single"/>
              </w:rPr>
              <w:t>5.27</w:t>
            </w:r>
          </w:p>
        </w:tc>
        <w:tc>
          <w:tcPr>
            <w:tcW w:w="4266" w:type="dxa"/>
            <w:tcBorders/>
            <w:shd w:fill="C6F4F9" w:val="clear"/>
            <w:vAlign w:val="center"/>
          </w:tcPr>
          <w:p>
            <w:pPr>
              <w:pStyle w:val="TableContents"/>
              <w:bidi w:val="0"/>
              <w:spacing w:before="0" w:after="283"/>
              <w:jc w:val="left"/>
              <w:rPr>
                <w:color w:val="0000FF"/>
                <w:sz w:val="20"/>
                <w:u w:val="single"/>
              </w:rPr>
            </w:pPr>
            <w:r>
              <w:rPr>
                <w:color w:val="0000FF"/>
                <w:sz w:val="20"/>
                <w:u w:val="single"/>
              </w:rPr>
              <w:t>Outbound Investment Rules</w:t>
            </w:r>
          </w:p>
        </w:tc>
        <w:tc>
          <w:tcPr>
            <w:tcW w:w="350" w:type="dxa"/>
            <w:tcBorders/>
            <w:shd w:fill="C6F4F9" w:val="clear"/>
            <w:vAlign w:val="center"/>
          </w:tcPr>
          <w:p>
            <w:pPr>
              <w:pStyle w:val="TableContents"/>
              <w:bidi w:val="0"/>
              <w:spacing w:before="0" w:after="283"/>
              <w:jc w:val="right"/>
              <w:rPr>
                <w:color w:val="0000FF"/>
                <w:sz w:val="20"/>
                <w:u w:val="single"/>
              </w:rPr>
            </w:pPr>
            <w:r>
              <w:rPr>
                <w:color w:val="0000FF"/>
                <w:sz w:val="20"/>
                <w:u w:val="single"/>
              </w:rPr>
              <w:t>107</w:t>
            </w:r>
          </w:p>
        </w:tc>
      </w:tr>
      <w:tr>
        <w:trPr/>
        <w:tc>
          <w:tcPr>
            <w:tcW w:w="4684" w:type="dxa"/>
            <w:gridSpan w:val="2"/>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right"/>
              <w:rPr/>
            </w:pPr>
            <w:r>
              <w:rPr/>
              <w:t> </w:t>
            </w:r>
          </w:p>
        </w:tc>
      </w:tr>
      <w:tr>
        <w:trPr/>
        <w:tc>
          <w:tcPr>
            <w:tcW w:w="4684" w:type="dxa"/>
            <w:gridSpan w:val="2"/>
            <w:tcBorders/>
            <w:shd w:fill="C6F4F9" w:val="clear"/>
            <w:vAlign w:val="center"/>
          </w:tcPr>
          <w:p>
            <w:pPr>
              <w:pStyle w:val="TableContents"/>
              <w:bidi w:val="0"/>
              <w:spacing w:before="0" w:after="283"/>
              <w:jc w:val="left"/>
              <w:rPr/>
            </w:pPr>
            <w:r>
              <w:rPr>
                <w:caps/>
                <w:sz w:val="20"/>
              </w:rPr>
              <w:t>Article VI AFFIRMATIVE COVENANTS</w:t>
            </w:r>
            <w:r>
              <w:rPr/>
              <w:t xml:space="preserve"> </w:t>
            </w:r>
          </w:p>
        </w:tc>
        <w:tc>
          <w:tcPr>
            <w:tcW w:w="350" w:type="dxa"/>
            <w:tcBorders/>
            <w:shd w:fill="C6F4F9" w:val="clear"/>
            <w:vAlign w:val="center"/>
          </w:tcPr>
          <w:p>
            <w:pPr>
              <w:pStyle w:val="TableContents"/>
              <w:bidi w:val="0"/>
              <w:spacing w:before="0" w:after="283"/>
              <w:jc w:val="right"/>
              <w:rPr>
                <w:caps/>
                <w:sz w:val="20"/>
              </w:rPr>
            </w:pPr>
            <w:r>
              <w:rPr>
                <w:caps/>
                <w:sz w:val="20"/>
              </w:rPr>
              <w:t>108</w:t>
            </w:r>
          </w:p>
        </w:tc>
      </w:tr>
      <w:tr>
        <w:trPr/>
        <w:tc>
          <w:tcPr>
            <w:tcW w:w="4684" w:type="dxa"/>
            <w:gridSpan w:val="2"/>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right"/>
              <w:rPr/>
            </w:pPr>
            <w:r>
              <w:rPr/>
              <w:t> </w:t>
            </w:r>
          </w:p>
        </w:tc>
      </w:tr>
      <w:tr>
        <w:trPr/>
        <w:tc>
          <w:tcPr>
            <w:tcW w:w="418" w:type="dxa"/>
            <w:tcBorders/>
            <w:shd w:fill="C6F4F9" w:val="clear"/>
            <w:vAlign w:val="center"/>
          </w:tcPr>
          <w:p>
            <w:pPr>
              <w:pStyle w:val="TableContents"/>
              <w:bidi w:val="0"/>
              <w:spacing w:before="0" w:after="283"/>
              <w:jc w:val="left"/>
              <w:rPr>
                <w:sz w:val="20"/>
              </w:rPr>
            </w:pPr>
            <w:r>
              <w:rPr>
                <w:sz w:val="20"/>
              </w:rPr>
              <w:t>6.01</w:t>
            </w:r>
          </w:p>
        </w:tc>
        <w:tc>
          <w:tcPr>
            <w:tcW w:w="4266" w:type="dxa"/>
            <w:tcBorders/>
            <w:shd w:fill="C6F4F9" w:val="clear"/>
            <w:vAlign w:val="center"/>
          </w:tcPr>
          <w:p>
            <w:pPr>
              <w:pStyle w:val="TableContents"/>
              <w:bidi w:val="0"/>
              <w:spacing w:before="0" w:after="283"/>
              <w:jc w:val="left"/>
              <w:rPr>
                <w:sz w:val="20"/>
              </w:rPr>
            </w:pPr>
            <w:r>
              <w:rPr>
                <w:sz w:val="20"/>
              </w:rPr>
              <w:t>Financial Statements</w:t>
            </w:r>
          </w:p>
        </w:tc>
        <w:tc>
          <w:tcPr>
            <w:tcW w:w="350" w:type="dxa"/>
            <w:tcBorders/>
            <w:shd w:fill="C6F4F9" w:val="clear"/>
            <w:vAlign w:val="center"/>
          </w:tcPr>
          <w:p>
            <w:pPr>
              <w:pStyle w:val="TableContents"/>
              <w:bidi w:val="0"/>
              <w:spacing w:before="0" w:after="283"/>
              <w:jc w:val="right"/>
              <w:rPr>
                <w:sz w:val="20"/>
              </w:rPr>
            </w:pPr>
            <w:r>
              <w:rPr>
                <w:sz w:val="20"/>
              </w:rPr>
              <w:t>108</w:t>
            </w:r>
          </w:p>
        </w:tc>
      </w:tr>
      <w:tr>
        <w:trPr/>
        <w:tc>
          <w:tcPr>
            <w:tcW w:w="418" w:type="dxa"/>
            <w:tcBorders/>
            <w:shd w:fill="FFFFFF" w:val="clear"/>
            <w:vAlign w:val="center"/>
          </w:tcPr>
          <w:p>
            <w:pPr>
              <w:pStyle w:val="TableContents"/>
              <w:bidi w:val="0"/>
              <w:spacing w:before="0" w:after="283"/>
              <w:jc w:val="left"/>
              <w:rPr>
                <w:sz w:val="20"/>
              </w:rPr>
            </w:pPr>
            <w:r>
              <w:rPr>
                <w:sz w:val="20"/>
              </w:rPr>
              <w:t>6.02</w:t>
            </w:r>
          </w:p>
        </w:tc>
        <w:tc>
          <w:tcPr>
            <w:tcW w:w="4266" w:type="dxa"/>
            <w:tcBorders/>
            <w:shd w:fill="FFFFFF" w:val="clear"/>
            <w:vAlign w:val="center"/>
          </w:tcPr>
          <w:p>
            <w:pPr>
              <w:pStyle w:val="TableContents"/>
              <w:bidi w:val="0"/>
              <w:spacing w:before="0" w:after="283"/>
              <w:jc w:val="left"/>
              <w:rPr>
                <w:sz w:val="20"/>
              </w:rPr>
            </w:pPr>
            <w:r>
              <w:rPr>
                <w:sz w:val="20"/>
              </w:rPr>
              <w:t>Certificates; Other Information</w:t>
            </w:r>
          </w:p>
        </w:tc>
        <w:tc>
          <w:tcPr>
            <w:tcW w:w="350" w:type="dxa"/>
            <w:tcBorders/>
            <w:shd w:fill="FFFFFF" w:val="clear"/>
            <w:vAlign w:val="center"/>
          </w:tcPr>
          <w:p>
            <w:pPr>
              <w:pStyle w:val="TableContents"/>
              <w:bidi w:val="0"/>
              <w:spacing w:before="0" w:after="283"/>
              <w:jc w:val="right"/>
              <w:rPr>
                <w:sz w:val="20"/>
              </w:rPr>
            </w:pPr>
            <w:r>
              <w:rPr>
                <w:sz w:val="20"/>
              </w:rPr>
              <w:t>109</w:t>
            </w:r>
          </w:p>
        </w:tc>
      </w:tr>
      <w:tr>
        <w:trPr/>
        <w:tc>
          <w:tcPr>
            <w:tcW w:w="418" w:type="dxa"/>
            <w:tcBorders/>
            <w:shd w:fill="C6F4F9" w:val="clear"/>
            <w:vAlign w:val="center"/>
          </w:tcPr>
          <w:p>
            <w:pPr>
              <w:pStyle w:val="TableContents"/>
              <w:bidi w:val="0"/>
              <w:spacing w:before="0" w:after="283"/>
              <w:jc w:val="left"/>
              <w:rPr>
                <w:sz w:val="20"/>
              </w:rPr>
            </w:pPr>
            <w:r>
              <w:rPr>
                <w:sz w:val="20"/>
              </w:rPr>
              <w:t>6.03</w:t>
            </w:r>
          </w:p>
        </w:tc>
        <w:tc>
          <w:tcPr>
            <w:tcW w:w="4266" w:type="dxa"/>
            <w:tcBorders/>
            <w:shd w:fill="C6F4F9" w:val="clear"/>
            <w:vAlign w:val="center"/>
          </w:tcPr>
          <w:p>
            <w:pPr>
              <w:pStyle w:val="TableContents"/>
              <w:bidi w:val="0"/>
              <w:spacing w:before="0" w:after="283"/>
              <w:jc w:val="left"/>
              <w:rPr>
                <w:sz w:val="20"/>
              </w:rPr>
            </w:pPr>
            <w:r>
              <w:rPr>
                <w:sz w:val="20"/>
              </w:rPr>
              <w:t>Notices</w:t>
            </w:r>
          </w:p>
        </w:tc>
        <w:tc>
          <w:tcPr>
            <w:tcW w:w="350" w:type="dxa"/>
            <w:tcBorders/>
            <w:shd w:fill="C6F4F9" w:val="clear"/>
            <w:vAlign w:val="center"/>
          </w:tcPr>
          <w:p>
            <w:pPr>
              <w:pStyle w:val="TableContents"/>
              <w:bidi w:val="0"/>
              <w:spacing w:before="0" w:after="283"/>
              <w:jc w:val="right"/>
              <w:rPr>
                <w:sz w:val="20"/>
              </w:rPr>
            </w:pPr>
            <w:r>
              <w:rPr>
                <w:sz w:val="20"/>
              </w:rPr>
              <w:t>111</w:t>
            </w:r>
          </w:p>
        </w:tc>
      </w:tr>
      <w:tr>
        <w:trPr/>
        <w:tc>
          <w:tcPr>
            <w:tcW w:w="418" w:type="dxa"/>
            <w:tcBorders/>
            <w:shd w:fill="FFFFFF" w:val="clear"/>
            <w:vAlign w:val="center"/>
          </w:tcPr>
          <w:p>
            <w:pPr>
              <w:pStyle w:val="TableContents"/>
              <w:bidi w:val="0"/>
              <w:spacing w:before="0" w:after="283"/>
              <w:jc w:val="left"/>
              <w:rPr>
                <w:sz w:val="20"/>
              </w:rPr>
            </w:pPr>
            <w:r>
              <w:rPr>
                <w:sz w:val="20"/>
              </w:rPr>
              <w:t>6.04</w:t>
            </w:r>
          </w:p>
        </w:tc>
        <w:tc>
          <w:tcPr>
            <w:tcW w:w="4266" w:type="dxa"/>
            <w:tcBorders/>
            <w:shd w:fill="FFFFFF" w:val="clear"/>
            <w:vAlign w:val="center"/>
          </w:tcPr>
          <w:p>
            <w:pPr>
              <w:pStyle w:val="TableContents"/>
              <w:bidi w:val="0"/>
              <w:spacing w:before="0" w:after="283"/>
              <w:jc w:val="left"/>
              <w:rPr>
                <w:sz w:val="20"/>
              </w:rPr>
            </w:pPr>
            <w:r>
              <w:rPr>
                <w:sz w:val="20"/>
              </w:rPr>
              <w:t>Payment of Obligations</w:t>
            </w:r>
          </w:p>
        </w:tc>
        <w:tc>
          <w:tcPr>
            <w:tcW w:w="350" w:type="dxa"/>
            <w:tcBorders/>
            <w:shd w:fill="FFFFFF" w:val="clear"/>
            <w:vAlign w:val="center"/>
          </w:tcPr>
          <w:p>
            <w:pPr>
              <w:pStyle w:val="TableContents"/>
              <w:bidi w:val="0"/>
              <w:spacing w:before="0" w:after="283"/>
              <w:jc w:val="right"/>
              <w:rPr>
                <w:sz w:val="20"/>
              </w:rPr>
            </w:pPr>
            <w:r>
              <w:rPr>
                <w:sz w:val="20"/>
              </w:rPr>
              <w:t>111</w:t>
            </w:r>
          </w:p>
        </w:tc>
      </w:tr>
      <w:tr>
        <w:trPr/>
        <w:tc>
          <w:tcPr>
            <w:tcW w:w="418" w:type="dxa"/>
            <w:tcBorders/>
            <w:shd w:fill="C6F4F9" w:val="clear"/>
            <w:vAlign w:val="center"/>
          </w:tcPr>
          <w:p>
            <w:pPr>
              <w:pStyle w:val="TableContents"/>
              <w:bidi w:val="0"/>
              <w:spacing w:before="0" w:after="283"/>
              <w:jc w:val="left"/>
              <w:rPr>
                <w:sz w:val="20"/>
              </w:rPr>
            </w:pPr>
            <w:r>
              <w:rPr>
                <w:sz w:val="20"/>
              </w:rPr>
              <w:t>6.05</w:t>
            </w:r>
          </w:p>
        </w:tc>
        <w:tc>
          <w:tcPr>
            <w:tcW w:w="4266" w:type="dxa"/>
            <w:tcBorders/>
            <w:shd w:fill="C6F4F9" w:val="clear"/>
            <w:vAlign w:val="center"/>
          </w:tcPr>
          <w:p>
            <w:pPr>
              <w:pStyle w:val="TableContents"/>
              <w:bidi w:val="0"/>
              <w:spacing w:before="0" w:after="283"/>
              <w:jc w:val="left"/>
              <w:rPr>
                <w:sz w:val="20"/>
              </w:rPr>
            </w:pPr>
            <w:r>
              <w:rPr>
                <w:sz w:val="20"/>
              </w:rPr>
              <w:t>Preservation of Existence, Etc</w:t>
            </w:r>
          </w:p>
        </w:tc>
        <w:tc>
          <w:tcPr>
            <w:tcW w:w="350" w:type="dxa"/>
            <w:tcBorders/>
            <w:shd w:fill="C6F4F9" w:val="clear"/>
            <w:vAlign w:val="center"/>
          </w:tcPr>
          <w:p>
            <w:pPr>
              <w:pStyle w:val="TableContents"/>
              <w:bidi w:val="0"/>
              <w:spacing w:before="0" w:after="283"/>
              <w:jc w:val="right"/>
              <w:rPr>
                <w:sz w:val="20"/>
              </w:rPr>
            </w:pPr>
            <w:r>
              <w:rPr>
                <w:sz w:val="20"/>
              </w:rPr>
              <w:t>112</w:t>
            </w:r>
          </w:p>
        </w:tc>
      </w:tr>
      <w:tr>
        <w:trPr/>
        <w:tc>
          <w:tcPr>
            <w:tcW w:w="418" w:type="dxa"/>
            <w:tcBorders/>
            <w:shd w:fill="FFFFFF" w:val="clear"/>
            <w:vAlign w:val="center"/>
          </w:tcPr>
          <w:p>
            <w:pPr>
              <w:pStyle w:val="TableContents"/>
              <w:bidi w:val="0"/>
              <w:spacing w:before="0" w:after="283"/>
              <w:jc w:val="left"/>
              <w:rPr>
                <w:sz w:val="20"/>
              </w:rPr>
            </w:pPr>
            <w:r>
              <w:rPr>
                <w:sz w:val="20"/>
              </w:rPr>
              <w:t>6.06</w:t>
            </w:r>
          </w:p>
        </w:tc>
        <w:tc>
          <w:tcPr>
            <w:tcW w:w="4266" w:type="dxa"/>
            <w:tcBorders/>
            <w:shd w:fill="FFFFFF" w:val="clear"/>
            <w:vAlign w:val="center"/>
          </w:tcPr>
          <w:p>
            <w:pPr>
              <w:pStyle w:val="TableContents"/>
              <w:bidi w:val="0"/>
              <w:spacing w:before="0" w:after="283"/>
              <w:jc w:val="left"/>
              <w:rPr>
                <w:sz w:val="20"/>
              </w:rPr>
            </w:pPr>
            <w:r>
              <w:rPr>
                <w:sz w:val="20"/>
              </w:rPr>
              <w:t>Maintenance of Properties</w:t>
            </w:r>
          </w:p>
        </w:tc>
        <w:tc>
          <w:tcPr>
            <w:tcW w:w="350" w:type="dxa"/>
            <w:tcBorders/>
            <w:shd w:fill="FFFFFF" w:val="clear"/>
            <w:vAlign w:val="center"/>
          </w:tcPr>
          <w:p>
            <w:pPr>
              <w:pStyle w:val="TableContents"/>
              <w:bidi w:val="0"/>
              <w:spacing w:before="0" w:after="283"/>
              <w:jc w:val="right"/>
              <w:rPr>
                <w:sz w:val="20"/>
              </w:rPr>
            </w:pPr>
            <w:r>
              <w:rPr>
                <w:sz w:val="20"/>
              </w:rPr>
              <w:t>112</w:t>
            </w:r>
          </w:p>
        </w:tc>
      </w:tr>
      <w:tr>
        <w:trPr/>
        <w:tc>
          <w:tcPr>
            <w:tcW w:w="418" w:type="dxa"/>
            <w:tcBorders/>
            <w:shd w:fill="C6F4F9" w:val="clear"/>
            <w:vAlign w:val="center"/>
          </w:tcPr>
          <w:p>
            <w:pPr>
              <w:pStyle w:val="TableContents"/>
              <w:bidi w:val="0"/>
              <w:spacing w:before="0" w:after="283"/>
              <w:jc w:val="left"/>
              <w:rPr>
                <w:sz w:val="20"/>
              </w:rPr>
            </w:pPr>
            <w:r>
              <w:rPr>
                <w:sz w:val="20"/>
              </w:rPr>
              <w:t>6.07</w:t>
            </w:r>
          </w:p>
        </w:tc>
        <w:tc>
          <w:tcPr>
            <w:tcW w:w="4266" w:type="dxa"/>
            <w:tcBorders/>
            <w:shd w:fill="C6F4F9" w:val="clear"/>
            <w:vAlign w:val="center"/>
          </w:tcPr>
          <w:p>
            <w:pPr>
              <w:pStyle w:val="TableContents"/>
              <w:bidi w:val="0"/>
              <w:spacing w:before="0" w:after="283"/>
              <w:jc w:val="left"/>
              <w:rPr>
                <w:sz w:val="20"/>
              </w:rPr>
            </w:pPr>
            <w:r>
              <w:rPr>
                <w:sz w:val="20"/>
              </w:rPr>
              <w:t>Maintenance of Insurance</w:t>
            </w:r>
          </w:p>
        </w:tc>
        <w:tc>
          <w:tcPr>
            <w:tcW w:w="350" w:type="dxa"/>
            <w:tcBorders/>
            <w:shd w:fill="C6F4F9" w:val="clear"/>
            <w:vAlign w:val="center"/>
          </w:tcPr>
          <w:p>
            <w:pPr>
              <w:pStyle w:val="TableContents"/>
              <w:bidi w:val="0"/>
              <w:spacing w:before="0" w:after="283"/>
              <w:jc w:val="right"/>
              <w:rPr>
                <w:sz w:val="20"/>
              </w:rPr>
            </w:pPr>
            <w:r>
              <w:rPr>
                <w:sz w:val="20"/>
              </w:rPr>
              <w:t>112</w:t>
            </w:r>
          </w:p>
        </w:tc>
      </w:tr>
      <w:tr>
        <w:trPr/>
        <w:tc>
          <w:tcPr>
            <w:tcW w:w="418" w:type="dxa"/>
            <w:tcBorders/>
            <w:shd w:fill="FFFFFF" w:val="clear"/>
            <w:vAlign w:val="center"/>
          </w:tcPr>
          <w:p>
            <w:pPr>
              <w:pStyle w:val="TableContents"/>
              <w:bidi w:val="0"/>
              <w:spacing w:before="0" w:after="283"/>
              <w:jc w:val="left"/>
              <w:rPr>
                <w:sz w:val="20"/>
              </w:rPr>
            </w:pPr>
            <w:r>
              <w:rPr>
                <w:sz w:val="20"/>
              </w:rPr>
              <w:t>6.08</w:t>
            </w:r>
          </w:p>
        </w:tc>
        <w:tc>
          <w:tcPr>
            <w:tcW w:w="4266" w:type="dxa"/>
            <w:tcBorders/>
            <w:shd w:fill="FFFFFF" w:val="clear"/>
            <w:vAlign w:val="center"/>
          </w:tcPr>
          <w:p>
            <w:pPr>
              <w:pStyle w:val="TableContents"/>
              <w:bidi w:val="0"/>
              <w:spacing w:before="0" w:after="283"/>
              <w:jc w:val="left"/>
              <w:rPr>
                <w:sz w:val="20"/>
              </w:rPr>
            </w:pPr>
            <w:r>
              <w:rPr>
                <w:sz w:val="20"/>
              </w:rPr>
              <w:t>Compliance with Laws</w:t>
            </w:r>
          </w:p>
        </w:tc>
        <w:tc>
          <w:tcPr>
            <w:tcW w:w="350" w:type="dxa"/>
            <w:tcBorders/>
            <w:shd w:fill="FFFFFF" w:val="clear"/>
            <w:vAlign w:val="center"/>
          </w:tcPr>
          <w:p>
            <w:pPr>
              <w:pStyle w:val="TableContents"/>
              <w:bidi w:val="0"/>
              <w:spacing w:before="0" w:after="283"/>
              <w:jc w:val="right"/>
              <w:rPr>
                <w:sz w:val="20"/>
              </w:rPr>
            </w:pPr>
            <w:r>
              <w:rPr>
                <w:sz w:val="20"/>
              </w:rPr>
              <w:t>113</w:t>
            </w:r>
          </w:p>
        </w:tc>
      </w:tr>
      <w:tr>
        <w:trPr/>
        <w:tc>
          <w:tcPr>
            <w:tcW w:w="418" w:type="dxa"/>
            <w:tcBorders/>
            <w:shd w:fill="C6F4F9" w:val="clear"/>
            <w:vAlign w:val="center"/>
          </w:tcPr>
          <w:p>
            <w:pPr>
              <w:pStyle w:val="TableContents"/>
              <w:bidi w:val="0"/>
              <w:spacing w:before="0" w:after="283"/>
              <w:jc w:val="left"/>
              <w:rPr>
                <w:sz w:val="20"/>
              </w:rPr>
            </w:pPr>
            <w:r>
              <w:rPr>
                <w:sz w:val="20"/>
              </w:rPr>
              <w:t>6.09</w:t>
            </w:r>
          </w:p>
        </w:tc>
        <w:tc>
          <w:tcPr>
            <w:tcW w:w="4266" w:type="dxa"/>
            <w:tcBorders/>
            <w:shd w:fill="C6F4F9" w:val="clear"/>
            <w:vAlign w:val="center"/>
          </w:tcPr>
          <w:p>
            <w:pPr>
              <w:pStyle w:val="TableContents"/>
              <w:bidi w:val="0"/>
              <w:spacing w:before="0" w:after="283"/>
              <w:jc w:val="left"/>
              <w:rPr>
                <w:sz w:val="20"/>
              </w:rPr>
            </w:pPr>
            <w:r>
              <w:rPr>
                <w:sz w:val="20"/>
              </w:rPr>
              <w:t>Books and Records</w:t>
            </w:r>
          </w:p>
        </w:tc>
        <w:tc>
          <w:tcPr>
            <w:tcW w:w="350" w:type="dxa"/>
            <w:tcBorders/>
            <w:shd w:fill="C6F4F9" w:val="clear"/>
            <w:vAlign w:val="center"/>
          </w:tcPr>
          <w:p>
            <w:pPr>
              <w:pStyle w:val="TableContents"/>
              <w:bidi w:val="0"/>
              <w:spacing w:before="0" w:after="283"/>
              <w:jc w:val="right"/>
              <w:rPr>
                <w:sz w:val="20"/>
              </w:rPr>
            </w:pPr>
            <w:r>
              <w:rPr>
                <w:sz w:val="20"/>
              </w:rPr>
              <w:t>113</w:t>
            </w:r>
          </w:p>
        </w:tc>
      </w:tr>
      <w:tr>
        <w:trPr/>
        <w:tc>
          <w:tcPr>
            <w:tcW w:w="418" w:type="dxa"/>
            <w:tcBorders/>
            <w:shd w:fill="FFFFFF" w:val="clear"/>
            <w:vAlign w:val="center"/>
          </w:tcPr>
          <w:p>
            <w:pPr>
              <w:pStyle w:val="TableContents"/>
              <w:bidi w:val="0"/>
              <w:spacing w:before="0" w:after="283"/>
              <w:jc w:val="left"/>
              <w:rPr>
                <w:sz w:val="20"/>
              </w:rPr>
            </w:pPr>
            <w:r>
              <w:rPr>
                <w:sz w:val="20"/>
              </w:rPr>
              <w:t>6.10</w:t>
            </w:r>
          </w:p>
        </w:tc>
        <w:tc>
          <w:tcPr>
            <w:tcW w:w="4266" w:type="dxa"/>
            <w:tcBorders/>
            <w:shd w:fill="FFFFFF" w:val="clear"/>
            <w:vAlign w:val="center"/>
          </w:tcPr>
          <w:p>
            <w:pPr>
              <w:pStyle w:val="TableContents"/>
              <w:bidi w:val="0"/>
              <w:spacing w:before="0" w:after="283"/>
              <w:jc w:val="left"/>
              <w:rPr>
                <w:sz w:val="20"/>
              </w:rPr>
            </w:pPr>
            <w:r>
              <w:rPr>
                <w:sz w:val="20"/>
              </w:rPr>
              <w:t>Inspection Rights</w:t>
            </w:r>
          </w:p>
        </w:tc>
        <w:tc>
          <w:tcPr>
            <w:tcW w:w="350" w:type="dxa"/>
            <w:tcBorders/>
            <w:shd w:fill="FFFFFF" w:val="clear"/>
            <w:vAlign w:val="center"/>
          </w:tcPr>
          <w:p>
            <w:pPr>
              <w:pStyle w:val="TableContents"/>
              <w:bidi w:val="0"/>
              <w:spacing w:before="0" w:after="283"/>
              <w:jc w:val="right"/>
              <w:rPr>
                <w:sz w:val="20"/>
              </w:rPr>
            </w:pPr>
            <w:r>
              <w:rPr>
                <w:sz w:val="20"/>
              </w:rPr>
              <w:t>113</w:t>
            </w:r>
          </w:p>
        </w:tc>
      </w:tr>
      <w:tr>
        <w:trPr/>
        <w:tc>
          <w:tcPr>
            <w:tcW w:w="418" w:type="dxa"/>
            <w:tcBorders/>
            <w:shd w:fill="C6F4F9" w:val="clear"/>
            <w:vAlign w:val="center"/>
          </w:tcPr>
          <w:p>
            <w:pPr>
              <w:pStyle w:val="TableContents"/>
              <w:bidi w:val="0"/>
              <w:spacing w:before="0" w:after="283"/>
              <w:jc w:val="left"/>
              <w:rPr>
                <w:sz w:val="20"/>
              </w:rPr>
            </w:pPr>
            <w:r>
              <w:rPr>
                <w:sz w:val="20"/>
              </w:rPr>
              <w:t>6.11</w:t>
            </w:r>
          </w:p>
        </w:tc>
        <w:tc>
          <w:tcPr>
            <w:tcW w:w="4266" w:type="dxa"/>
            <w:tcBorders/>
            <w:shd w:fill="C6F4F9" w:val="clear"/>
            <w:vAlign w:val="center"/>
          </w:tcPr>
          <w:p>
            <w:pPr>
              <w:pStyle w:val="TableContents"/>
              <w:bidi w:val="0"/>
              <w:spacing w:before="0" w:after="283"/>
              <w:jc w:val="left"/>
              <w:rPr>
                <w:sz w:val="20"/>
              </w:rPr>
            </w:pPr>
            <w:r>
              <w:rPr>
                <w:sz w:val="20"/>
              </w:rPr>
              <w:t>Use of Proceeds</w:t>
            </w:r>
          </w:p>
        </w:tc>
        <w:tc>
          <w:tcPr>
            <w:tcW w:w="350" w:type="dxa"/>
            <w:tcBorders/>
            <w:shd w:fill="C6F4F9" w:val="clear"/>
            <w:vAlign w:val="center"/>
          </w:tcPr>
          <w:p>
            <w:pPr>
              <w:pStyle w:val="TableContents"/>
              <w:bidi w:val="0"/>
              <w:spacing w:before="0" w:after="283"/>
              <w:jc w:val="right"/>
              <w:rPr>
                <w:sz w:val="20"/>
              </w:rPr>
            </w:pPr>
            <w:r>
              <w:rPr>
                <w:sz w:val="20"/>
              </w:rPr>
              <w:t>113</w:t>
            </w:r>
          </w:p>
        </w:tc>
      </w:tr>
      <w:tr>
        <w:trPr/>
        <w:tc>
          <w:tcPr>
            <w:tcW w:w="418" w:type="dxa"/>
            <w:tcBorders/>
            <w:shd w:fill="FFFFFF" w:val="clear"/>
            <w:vAlign w:val="center"/>
          </w:tcPr>
          <w:p>
            <w:pPr>
              <w:pStyle w:val="TableContents"/>
              <w:bidi w:val="0"/>
              <w:spacing w:before="0" w:after="283"/>
              <w:jc w:val="left"/>
              <w:rPr>
                <w:sz w:val="20"/>
              </w:rPr>
            </w:pPr>
            <w:r>
              <w:rPr>
                <w:sz w:val="20"/>
              </w:rPr>
              <w:t>6.12</w:t>
            </w:r>
          </w:p>
        </w:tc>
        <w:tc>
          <w:tcPr>
            <w:tcW w:w="4266" w:type="dxa"/>
            <w:tcBorders/>
            <w:shd w:fill="FFFFFF" w:val="clear"/>
            <w:vAlign w:val="center"/>
          </w:tcPr>
          <w:p>
            <w:pPr>
              <w:pStyle w:val="TableContents"/>
              <w:bidi w:val="0"/>
              <w:spacing w:before="0" w:after="283"/>
              <w:jc w:val="left"/>
              <w:rPr>
                <w:sz w:val="20"/>
              </w:rPr>
            </w:pPr>
            <w:r>
              <w:rPr>
                <w:sz w:val="20"/>
              </w:rPr>
              <w:t>[Reserved.]</w:t>
            </w:r>
          </w:p>
        </w:tc>
        <w:tc>
          <w:tcPr>
            <w:tcW w:w="350" w:type="dxa"/>
            <w:tcBorders/>
            <w:shd w:fill="FFFFFF" w:val="clear"/>
            <w:vAlign w:val="center"/>
          </w:tcPr>
          <w:p>
            <w:pPr>
              <w:pStyle w:val="TableContents"/>
              <w:bidi w:val="0"/>
              <w:spacing w:before="0" w:after="283"/>
              <w:jc w:val="right"/>
              <w:rPr>
                <w:sz w:val="20"/>
              </w:rPr>
            </w:pPr>
            <w:r>
              <w:rPr>
                <w:sz w:val="20"/>
              </w:rPr>
              <w:t>113</w:t>
            </w:r>
          </w:p>
        </w:tc>
      </w:tr>
      <w:tr>
        <w:trPr/>
        <w:tc>
          <w:tcPr>
            <w:tcW w:w="418" w:type="dxa"/>
            <w:tcBorders/>
            <w:shd w:fill="C6F4F9" w:val="clear"/>
            <w:vAlign w:val="center"/>
          </w:tcPr>
          <w:p>
            <w:pPr>
              <w:pStyle w:val="TableContents"/>
              <w:bidi w:val="0"/>
              <w:spacing w:before="0" w:after="283"/>
              <w:jc w:val="left"/>
              <w:rPr>
                <w:sz w:val="20"/>
              </w:rPr>
            </w:pPr>
            <w:r>
              <w:rPr>
                <w:sz w:val="20"/>
              </w:rPr>
              <w:t>6.13</w:t>
            </w:r>
          </w:p>
        </w:tc>
        <w:tc>
          <w:tcPr>
            <w:tcW w:w="4266" w:type="dxa"/>
            <w:tcBorders/>
            <w:shd w:fill="C6F4F9" w:val="clear"/>
            <w:vAlign w:val="center"/>
          </w:tcPr>
          <w:p>
            <w:pPr>
              <w:pStyle w:val="TableContents"/>
              <w:bidi w:val="0"/>
              <w:spacing w:before="0" w:after="283"/>
              <w:jc w:val="left"/>
              <w:rPr>
                <w:sz w:val="20"/>
              </w:rPr>
            </w:pPr>
            <w:r>
              <w:rPr>
                <w:sz w:val="20"/>
              </w:rPr>
              <w:t>Covenant to Guarantee Obligations</w:t>
            </w:r>
          </w:p>
        </w:tc>
        <w:tc>
          <w:tcPr>
            <w:tcW w:w="350" w:type="dxa"/>
            <w:tcBorders/>
            <w:shd w:fill="C6F4F9" w:val="clear"/>
            <w:vAlign w:val="center"/>
          </w:tcPr>
          <w:p>
            <w:pPr>
              <w:pStyle w:val="TableContents"/>
              <w:bidi w:val="0"/>
              <w:spacing w:before="0" w:after="283"/>
              <w:jc w:val="right"/>
              <w:rPr>
                <w:sz w:val="20"/>
              </w:rPr>
            </w:pPr>
            <w:r>
              <w:rPr>
                <w:sz w:val="20"/>
              </w:rPr>
              <w:t>113</w:t>
            </w:r>
          </w:p>
        </w:tc>
      </w:tr>
      <w:tr>
        <w:trPr/>
        <w:tc>
          <w:tcPr>
            <w:tcW w:w="418" w:type="dxa"/>
            <w:tcBorders/>
            <w:shd w:fill="FFFFFF" w:val="clear"/>
            <w:vAlign w:val="center"/>
          </w:tcPr>
          <w:p>
            <w:pPr>
              <w:pStyle w:val="TableContents"/>
              <w:bidi w:val="0"/>
              <w:spacing w:before="0" w:after="283"/>
              <w:jc w:val="left"/>
              <w:rPr>
                <w:sz w:val="20"/>
              </w:rPr>
            </w:pPr>
            <w:r>
              <w:rPr>
                <w:sz w:val="20"/>
              </w:rPr>
              <w:t>6.14</w:t>
            </w:r>
          </w:p>
        </w:tc>
        <w:tc>
          <w:tcPr>
            <w:tcW w:w="4266" w:type="dxa"/>
            <w:tcBorders/>
            <w:shd w:fill="FFFFFF" w:val="clear"/>
            <w:vAlign w:val="center"/>
          </w:tcPr>
          <w:p>
            <w:pPr>
              <w:pStyle w:val="TableContents"/>
              <w:bidi w:val="0"/>
              <w:spacing w:before="0" w:after="283"/>
              <w:jc w:val="left"/>
              <w:rPr>
                <w:sz w:val="20"/>
              </w:rPr>
            </w:pPr>
            <w:r>
              <w:rPr>
                <w:sz w:val="20"/>
              </w:rPr>
              <w:t>Covenant to Give Security</w:t>
            </w:r>
          </w:p>
        </w:tc>
        <w:tc>
          <w:tcPr>
            <w:tcW w:w="350" w:type="dxa"/>
            <w:tcBorders/>
            <w:shd w:fill="FFFFFF" w:val="clear"/>
            <w:vAlign w:val="center"/>
          </w:tcPr>
          <w:p>
            <w:pPr>
              <w:pStyle w:val="TableContents"/>
              <w:bidi w:val="0"/>
              <w:spacing w:before="0" w:after="283"/>
              <w:jc w:val="right"/>
              <w:rPr>
                <w:sz w:val="20"/>
              </w:rPr>
            </w:pPr>
            <w:r>
              <w:rPr>
                <w:sz w:val="20"/>
              </w:rPr>
              <w:t>114</w:t>
            </w:r>
          </w:p>
        </w:tc>
      </w:tr>
      <w:tr>
        <w:trPr/>
        <w:tc>
          <w:tcPr>
            <w:tcW w:w="418" w:type="dxa"/>
            <w:tcBorders/>
            <w:shd w:fill="C6F4F9" w:val="clear"/>
            <w:vAlign w:val="center"/>
          </w:tcPr>
          <w:p>
            <w:pPr>
              <w:pStyle w:val="TableContents"/>
              <w:bidi w:val="0"/>
              <w:spacing w:before="0" w:after="283"/>
              <w:jc w:val="left"/>
              <w:rPr>
                <w:sz w:val="20"/>
              </w:rPr>
            </w:pPr>
            <w:r>
              <w:rPr>
                <w:sz w:val="20"/>
              </w:rPr>
              <w:t>6.15</w:t>
            </w:r>
          </w:p>
        </w:tc>
        <w:tc>
          <w:tcPr>
            <w:tcW w:w="4266" w:type="dxa"/>
            <w:tcBorders/>
            <w:shd w:fill="C6F4F9" w:val="clear"/>
            <w:vAlign w:val="center"/>
          </w:tcPr>
          <w:p>
            <w:pPr>
              <w:pStyle w:val="TableContents"/>
              <w:bidi w:val="0"/>
              <w:spacing w:before="0" w:after="283"/>
              <w:jc w:val="left"/>
              <w:rPr>
                <w:sz w:val="20"/>
              </w:rPr>
            </w:pPr>
            <w:r>
              <w:rPr>
                <w:sz w:val="20"/>
              </w:rPr>
              <w:t>Further Assurances</w:t>
            </w:r>
          </w:p>
        </w:tc>
        <w:tc>
          <w:tcPr>
            <w:tcW w:w="350" w:type="dxa"/>
            <w:tcBorders/>
            <w:shd w:fill="C6F4F9" w:val="clear"/>
            <w:vAlign w:val="center"/>
          </w:tcPr>
          <w:p>
            <w:pPr>
              <w:pStyle w:val="TableContents"/>
              <w:bidi w:val="0"/>
              <w:spacing w:before="0" w:after="283"/>
              <w:jc w:val="right"/>
              <w:rPr>
                <w:sz w:val="20"/>
              </w:rPr>
            </w:pPr>
            <w:r>
              <w:rPr>
                <w:sz w:val="20"/>
              </w:rPr>
              <w:t>114</w:t>
            </w:r>
          </w:p>
        </w:tc>
      </w:tr>
      <w:tr>
        <w:trPr/>
        <w:tc>
          <w:tcPr>
            <w:tcW w:w="418" w:type="dxa"/>
            <w:tcBorders/>
            <w:shd w:fill="FFFFFF" w:val="clear"/>
            <w:vAlign w:val="center"/>
          </w:tcPr>
          <w:p>
            <w:pPr>
              <w:pStyle w:val="TableContents"/>
              <w:bidi w:val="0"/>
              <w:spacing w:before="0" w:after="283"/>
              <w:jc w:val="left"/>
              <w:rPr>
                <w:sz w:val="20"/>
              </w:rPr>
            </w:pPr>
            <w:r>
              <w:rPr>
                <w:sz w:val="20"/>
              </w:rPr>
              <w:t>6.16</w:t>
            </w:r>
          </w:p>
        </w:tc>
        <w:tc>
          <w:tcPr>
            <w:tcW w:w="4266" w:type="dxa"/>
            <w:tcBorders/>
            <w:shd w:fill="FFFFFF" w:val="clear"/>
            <w:vAlign w:val="center"/>
          </w:tcPr>
          <w:p>
            <w:pPr>
              <w:pStyle w:val="TableContents"/>
              <w:bidi w:val="0"/>
              <w:spacing w:before="0" w:after="283"/>
              <w:jc w:val="left"/>
              <w:rPr>
                <w:sz w:val="20"/>
              </w:rPr>
            </w:pPr>
            <w:r>
              <w:rPr>
                <w:sz w:val="20"/>
              </w:rPr>
              <w:t>[Reserved.]</w:t>
            </w:r>
          </w:p>
        </w:tc>
        <w:tc>
          <w:tcPr>
            <w:tcW w:w="350" w:type="dxa"/>
            <w:tcBorders/>
            <w:shd w:fill="FFFFFF" w:val="clear"/>
            <w:vAlign w:val="center"/>
          </w:tcPr>
          <w:p>
            <w:pPr>
              <w:pStyle w:val="TableContents"/>
              <w:bidi w:val="0"/>
              <w:spacing w:before="0" w:after="283"/>
              <w:jc w:val="right"/>
              <w:rPr>
                <w:sz w:val="20"/>
              </w:rPr>
            </w:pPr>
            <w:r>
              <w:rPr>
                <w:sz w:val="20"/>
              </w:rPr>
              <w:t>115</w:t>
            </w:r>
          </w:p>
        </w:tc>
      </w:tr>
      <w:tr>
        <w:trPr/>
        <w:tc>
          <w:tcPr>
            <w:tcW w:w="418" w:type="dxa"/>
            <w:tcBorders/>
            <w:shd w:fill="C6F4F9" w:val="clear"/>
            <w:vAlign w:val="center"/>
          </w:tcPr>
          <w:p>
            <w:pPr>
              <w:pStyle w:val="TableContents"/>
              <w:bidi w:val="0"/>
              <w:spacing w:before="0" w:after="283"/>
              <w:jc w:val="left"/>
              <w:rPr>
                <w:sz w:val="20"/>
              </w:rPr>
            </w:pPr>
            <w:r>
              <w:rPr>
                <w:sz w:val="20"/>
              </w:rPr>
              <w:t>6.17</w:t>
            </w:r>
          </w:p>
        </w:tc>
        <w:tc>
          <w:tcPr>
            <w:tcW w:w="4266" w:type="dxa"/>
            <w:tcBorders/>
            <w:shd w:fill="C6F4F9" w:val="clear"/>
            <w:vAlign w:val="center"/>
          </w:tcPr>
          <w:p>
            <w:pPr>
              <w:pStyle w:val="TableContents"/>
              <w:bidi w:val="0"/>
              <w:spacing w:before="0" w:after="283"/>
              <w:jc w:val="left"/>
              <w:rPr>
                <w:sz w:val="20"/>
              </w:rPr>
            </w:pPr>
            <w:r>
              <w:rPr>
                <w:sz w:val="20"/>
              </w:rPr>
              <w:t>Compliance with Environmental Laws</w:t>
            </w:r>
          </w:p>
        </w:tc>
        <w:tc>
          <w:tcPr>
            <w:tcW w:w="350" w:type="dxa"/>
            <w:tcBorders/>
            <w:shd w:fill="C6F4F9" w:val="clear"/>
            <w:vAlign w:val="center"/>
          </w:tcPr>
          <w:p>
            <w:pPr>
              <w:pStyle w:val="TableContents"/>
              <w:bidi w:val="0"/>
              <w:spacing w:before="0" w:after="283"/>
              <w:jc w:val="right"/>
              <w:rPr>
                <w:sz w:val="20"/>
              </w:rPr>
            </w:pPr>
            <w:r>
              <w:rPr>
                <w:sz w:val="20"/>
              </w:rPr>
              <w:t>115</w:t>
            </w:r>
          </w:p>
        </w:tc>
      </w:tr>
      <w:tr>
        <w:trPr/>
        <w:tc>
          <w:tcPr>
            <w:tcW w:w="418" w:type="dxa"/>
            <w:tcBorders/>
            <w:shd w:fill="FFFFFF" w:val="clear"/>
            <w:vAlign w:val="center"/>
          </w:tcPr>
          <w:p>
            <w:pPr>
              <w:pStyle w:val="TableContents"/>
              <w:bidi w:val="0"/>
              <w:spacing w:before="0" w:after="283"/>
              <w:jc w:val="left"/>
              <w:rPr>
                <w:sz w:val="20"/>
              </w:rPr>
            </w:pPr>
            <w:r>
              <w:rPr>
                <w:sz w:val="20"/>
              </w:rPr>
              <w:t>6.18</w:t>
            </w:r>
          </w:p>
        </w:tc>
        <w:tc>
          <w:tcPr>
            <w:tcW w:w="4266" w:type="dxa"/>
            <w:tcBorders/>
            <w:shd w:fill="FFFFFF" w:val="clear"/>
            <w:vAlign w:val="center"/>
          </w:tcPr>
          <w:p>
            <w:pPr>
              <w:pStyle w:val="TableContents"/>
              <w:bidi w:val="0"/>
              <w:spacing w:before="0" w:after="283"/>
              <w:jc w:val="left"/>
              <w:rPr>
                <w:sz w:val="20"/>
              </w:rPr>
            </w:pPr>
            <w:r>
              <w:rPr>
                <w:sz w:val="20"/>
              </w:rPr>
              <w:t>[Reserved</w:t>
            </w:r>
            <w:r>
              <w:rPr>
                <w:color w:val="0000FF"/>
                <w:sz w:val="20"/>
                <w:u w:val="single"/>
              </w:rPr>
              <w:t>.</w:t>
            </w:r>
            <w:r>
              <w:rPr>
                <w:sz w:val="20"/>
              </w:rPr>
              <w:t>]</w:t>
            </w:r>
          </w:p>
        </w:tc>
        <w:tc>
          <w:tcPr>
            <w:tcW w:w="350" w:type="dxa"/>
            <w:tcBorders/>
            <w:shd w:fill="FFFFFF" w:val="clear"/>
            <w:vAlign w:val="center"/>
          </w:tcPr>
          <w:p>
            <w:pPr>
              <w:pStyle w:val="TableContents"/>
              <w:bidi w:val="0"/>
              <w:spacing w:before="0" w:after="283"/>
              <w:jc w:val="right"/>
              <w:rPr>
                <w:sz w:val="20"/>
              </w:rPr>
            </w:pPr>
            <w:r>
              <w:rPr>
                <w:sz w:val="20"/>
              </w:rPr>
              <w:t>115</w:t>
            </w:r>
          </w:p>
        </w:tc>
      </w:tr>
      <w:tr>
        <w:trPr/>
        <w:tc>
          <w:tcPr>
            <w:tcW w:w="418" w:type="dxa"/>
            <w:tcBorders/>
            <w:shd w:fill="C6F4F9" w:val="clear"/>
            <w:vAlign w:val="center"/>
          </w:tcPr>
          <w:p>
            <w:pPr>
              <w:pStyle w:val="TableContents"/>
              <w:bidi w:val="0"/>
              <w:spacing w:before="0" w:after="283"/>
              <w:jc w:val="left"/>
              <w:rPr>
                <w:sz w:val="20"/>
              </w:rPr>
            </w:pPr>
            <w:r>
              <w:rPr>
                <w:sz w:val="20"/>
              </w:rPr>
              <w:t>6.19</w:t>
            </w:r>
          </w:p>
        </w:tc>
        <w:tc>
          <w:tcPr>
            <w:tcW w:w="4266" w:type="dxa"/>
            <w:tcBorders/>
            <w:shd w:fill="C6F4F9" w:val="clear"/>
            <w:vAlign w:val="center"/>
          </w:tcPr>
          <w:p>
            <w:pPr>
              <w:pStyle w:val="TableContents"/>
              <w:bidi w:val="0"/>
              <w:spacing w:before="0" w:after="283"/>
              <w:jc w:val="left"/>
              <w:rPr>
                <w:sz w:val="20"/>
              </w:rPr>
            </w:pPr>
            <w:r>
              <w:rPr>
                <w:sz w:val="20"/>
              </w:rPr>
              <w:t>Anti-Corruption Laws</w:t>
            </w:r>
          </w:p>
        </w:tc>
        <w:tc>
          <w:tcPr>
            <w:tcW w:w="350" w:type="dxa"/>
            <w:tcBorders/>
            <w:shd w:fill="C6F4F9" w:val="clear"/>
            <w:vAlign w:val="center"/>
          </w:tcPr>
          <w:p>
            <w:pPr>
              <w:pStyle w:val="TableContents"/>
              <w:bidi w:val="0"/>
              <w:spacing w:before="0" w:after="283"/>
              <w:jc w:val="right"/>
              <w:rPr>
                <w:sz w:val="20"/>
              </w:rPr>
            </w:pPr>
            <w:r>
              <w:rPr>
                <w:sz w:val="20"/>
              </w:rPr>
              <w:t>115</w:t>
            </w:r>
          </w:p>
        </w:tc>
      </w:tr>
      <w:tr>
        <w:trPr/>
        <w:tc>
          <w:tcPr>
            <w:tcW w:w="418" w:type="dxa"/>
            <w:tcBorders/>
            <w:shd w:fill="FFFFFF" w:val="clear"/>
            <w:vAlign w:val="center"/>
          </w:tcPr>
          <w:p>
            <w:pPr>
              <w:pStyle w:val="TableContents"/>
              <w:bidi w:val="0"/>
              <w:spacing w:before="0" w:after="283"/>
              <w:jc w:val="left"/>
              <w:rPr>
                <w:sz w:val="20"/>
              </w:rPr>
            </w:pPr>
            <w:r>
              <w:rPr>
                <w:sz w:val="20"/>
              </w:rPr>
              <w:t>6.20</w:t>
            </w:r>
          </w:p>
        </w:tc>
        <w:tc>
          <w:tcPr>
            <w:tcW w:w="4266" w:type="dxa"/>
            <w:tcBorders/>
            <w:shd w:fill="FFFFFF" w:val="clear"/>
            <w:vAlign w:val="center"/>
          </w:tcPr>
          <w:p>
            <w:pPr>
              <w:pStyle w:val="TableContents"/>
              <w:bidi w:val="0"/>
              <w:spacing w:before="0" w:after="283"/>
              <w:jc w:val="left"/>
              <w:rPr>
                <w:sz w:val="20"/>
              </w:rPr>
            </w:pPr>
            <w:r>
              <w:rPr>
                <w:sz w:val="20"/>
              </w:rPr>
              <w:t>Approvals and Authorizations</w:t>
            </w:r>
          </w:p>
        </w:tc>
        <w:tc>
          <w:tcPr>
            <w:tcW w:w="350" w:type="dxa"/>
            <w:tcBorders/>
            <w:shd w:fill="FFFFFF" w:val="clear"/>
            <w:vAlign w:val="center"/>
          </w:tcPr>
          <w:p>
            <w:pPr>
              <w:pStyle w:val="TableContents"/>
              <w:bidi w:val="0"/>
              <w:spacing w:before="0" w:after="283"/>
              <w:jc w:val="right"/>
              <w:rPr>
                <w:sz w:val="20"/>
              </w:rPr>
            </w:pPr>
            <w:r>
              <w:rPr>
                <w:sz w:val="20"/>
              </w:rPr>
              <w:t>115</w:t>
            </w:r>
          </w:p>
        </w:tc>
      </w:tr>
    </w:tbl>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040"/>
        <w:gridCol w:w="665"/>
      </w:tblGrid>
      <w:tr>
        <w:trPr/>
        <w:tc>
          <w:tcPr>
            <w:tcW w:w="500" w:type="dxa"/>
            <w:tcBorders/>
            <w:shd w:fill="C6F4F9" w:val="clear"/>
            <w:vAlign w:val="center"/>
          </w:tcPr>
          <w:p>
            <w:pPr>
              <w:pStyle w:val="TableContents"/>
              <w:bidi w:val="0"/>
              <w:spacing w:before="0" w:after="283"/>
              <w:jc w:val="left"/>
              <w:rPr>
                <w:sz w:val="20"/>
              </w:rPr>
            </w:pPr>
            <w:r>
              <w:rPr>
                <w:sz w:val="20"/>
              </w:rPr>
              <w:t>6.21</w:t>
            </w:r>
          </w:p>
        </w:tc>
        <w:tc>
          <w:tcPr>
            <w:tcW w:w="9040" w:type="dxa"/>
            <w:tcBorders/>
            <w:shd w:fill="C6F4F9" w:val="clear"/>
            <w:vAlign w:val="center"/>
          </w:tcPr>
          <w:p>
            <w:pPr>
              <w:pStyle w:val="TableContents"/>
              <w:bidi w:val="0"/>
              <w:spacing w:before="0" w:after="283"/>
              <w:jc w:val="left"/>
              <w:rPr>
                <w:sz w:val="20"/>
              </w:rPr>
            </w:pPr>
            <w:r>
              <w:rPr>
                <w:sz w:val="20"/>
              </w:rPr>
              <w:t>Pari Passu Ranking</w:t>
            </w:r>
          </w:p>
        </w:tc>
        <w:tc>
          <w:tcPr>
            <w:tcW w:w="665" w:type="dxa"/>
            <w:tcBorders/>
            <w:shd w:fill="C6F4F9" w:val="clear"/>
            <w:vAlign w:val="center"/>
          </w:tcPr>
          <w:p>
            <w:pPr>
              <w:pStyle w:val="TableContents"/>
              <w:bidi w:val="0"/>
              <w:spacing w:before="0" w:after="283"/>
              <w:jc w:val="right"/>
              <w:rPr>
                <w:sz w:val="20"/>
              </w:rPr>
            </w:pPr>
            <w:r>
              <w:rPr>
                <w:sz w:val="20"/>
              </w:rPr>
              <w:t>115</w:t>
            </w:r>
          </w:p>
        </w:tc>
      </w:tr>
      <w:tr>
        <w:trPr/>
        <w:tc>
          <w:tcPr>
            <w:tcW w:w="500" w:type="dxa"/>
            <w:tcBorders/>
            <w:shd w:fill="FFFFFF" w:val="clear"/>
            <w:vAlign w:val="center"/>
          </w:tcPr>
          <w:p>
            <w:pPr>
              <w:pStyle w:val="TableContents"/>
              <w:bidi w:val="0"/>
              <w:spacing w:before="0" w:after="283"/>
              <w:jc w:val="left"/>
              <w:rPr>
                <w:sz w:val="20"/>
              </w:rPr>
            </w:pPr>
            <w:r>
              <w:rPr>
                <w:sz w:val="20"/>
              </w:rPr>
              <w:t>6.22</w:t>
            </w:r>
          </w:p>
        </w:tc>
        <w:tc>
          <w:tcPr>
            <w:tcW w:w="9040" w:type="dxa"/>
            <w:tcBorders/>
            <w:shd w:fill="FFFFFF" w:val="clear"/>
            <w:vAlign w:val="center"/>
          </w:tcPr>
          <w:p>
            <w:pPr>
              <w:pStyle w:val="TableContents"/>
              <w:bidi w:val="0"/>
              <w:spacing w:before="0" w:after="283"/>
              <w:jc w:val="left"/>
              <w:rPr>
                <w:sz w:val="20"/>
              </w:rPr>
            </w:pPr>
            <w:r>
              <w:rPr>
                <w:sz w:val="20"/>
              </w:rPr>
              <w:t>Swiss Non-Bank Rules</w:t>
            </w:r>
          </w:p>
        </w:tc>
        <w:tc>
          <w:tcPr>
            <w:tcW w:w="665" w:type="dxa"/>
            <w:tcBorders/>
            <w:shd w:fill="FFFFFF" w:val="clear"/>
            <w:vAlign w:val="center"/>
          </w:tcPr>
          <w:p>
            <w:pPr>
              <w:pStyle w:val="TableContents"/>
              <w:bidi w:val="0"/>
              <w:spacing w:before="0" w:after="283"/>
              <w:jc w:val="right"/>
              <w:rPr>
                <w:sz w:val="20"/>
              </w:rPr>
            </w:pPr>
            <w:r>
              <w:rPr>
                <w:sz w:val="20"/>
              </w:rPr>
              <w:t>116</w:t>
            </w:r>
          </w:p>
        </w:tc>
      </w:tr>
      <w:tr>
        <w:trPr/>
        <w:tc>
          <w:tcPr>
            <w:tcW w:w="500" w:type="dxa"/>
            <w:tcBorders/>
            <w:shd w:fill="C6F4F9" w:val="clear"/>
            <w:vAlign w:val="center"/>
          </w:tcPr>
          <w:p>
            <w:pPr>
              <w:pStyle w:val="TableContents"/>
              <w:bidi w:val="0"/>
              <w:spacing w:before="0" w:after="283"/>
              <w:jc w:val="left"/>
              <w:rPr/>
            </w:pPr>
            <w:r>
              <w:rPr/>
              <w:t> </w:t>
            </w:r>
          </w:p>
        </w:tc>
        <w:tc>
          <w:tcPr>
            <w:tcW w:w="9040" w:type="dxa"/>
            <w:tcBorders/>
            <w:shd w:fill="C6F4F9" w:val="clear"/>
            <w:vAlign w:val="center"/>
          </w:tcPr>
          <w:p>
            <w:pPr>
              <w:pStyle w:val="TableContents"/>
              <w:bidi w:val="0"/>
              <w:spacing w:before="0" w:after="283"/>
              <w:jc w:val="left"/>
              <w:rPr/>
            </w:pPr>
            <w:r>
              <w:rPr/>
              <w:t> </w:t>
            </w:r>
          </w:p>
        </w:tc>
        <w:tc>
          <w:tcPr>
            <w:tcW w:w="665" w:type="dxa"/>
            <w:tcBorders/>
            <w:shd w:fill="C6F4F9" w:val="clear"/>
            <w:vAlign w:val="center"/>
          </w:tcPr>
          <w:p>
            <w:pPr>
              <w:pStyle w:val="TableContents"/>
              <w:bidi w:val="0"/>
              <w:spacing w:before="0" w:after="283"/>
              <w:jc w:val="right"/>
              <w:rPr/>
            </w:pPr>
            <w:r>
              <w:rPr/>
              <w:t> </w:t>
            </w:r>
          </w:p>
        </w:tc>
      </w:tr>
      <w:tr>
        <w:trPr/>
        <w:tc>
          <w:tcPr>
            <w:tcW w:w="9540" w:type="dxa"/>
            <w:gridSpan w:val="2"/>
            <w:tcBorders/>
            <w:shd w:fill="FFFFFF" w:val="clear"/>
            <w:vAlign w:val="center"/>
          </w:tcPr>
          <w:p>
            <w:pPr>
              <w:pStyle w:val="TableContents"/>
              <w:bidi w:val="0"/>
              <w:spacing w:before="0" w:after="283"/>
              <w:jc w:val="left"/>
              <w:rPr/>
            </w:pPr>
            <w:r>
              <w:rPr>
                <w:caps/>
                <w:sz w:val="20"/>
              </w:rPr>
              <w:t>Article VII NEGATIVE COVENANTS</w:t>
            </w:r>
            <w:r>
              <w:rPr/>
              <w:t xml:space="preserve"> </w:t>
            </w:r>
          </w:p>
        </w:tc>
        <w:tc>
          <w:tcPr>
            <w:tcW w:w="665" w:type="dxa"/>
            <w:tcBorders/>
            <w:shd w:fill="FFFFFF" w:val="clear"/>
            <w:vAlign w:val="center"/>
          </w:tcPr>
          <w:p>
            <w:pPr>
              <w:pStyle w:val="TableContents"/>
              <w:bidi w:val="0"/>
              <w:spacing w:before="0" w:after="283"/>
              <w:jc w:val="right"/>
              <w:rPr>
                <w:caps/>
                <w:sz w:val="20"/>
              </w:rPr>
            </w:pPr>
            <w:r>
              <w:rPr>
                <w:caps/>
                <w:sz w:val="20"/>
              </w:rPr>
              <w:t>116</w:t>
            </w:r>
          </w:p>
        </w:tc>
      </w:tr>
      <w:tr>
        <w:trPr/>
        <w:tc>
          <w:tcPr>
            <w:tcW w:w="9540" w:type="dxa"/>
            <w:gridSpan w:val="2"/>
            <w:tcBorders/>
            <w:shd w:fill="C6F4F9" w:val="clear"/>
            <w:vAlign w:val="center"/>
          </w:tcPr>
          <w:p>
            <w:pPr>
              <w:pStyle w:val="TableContents"/>
              <w:bidi w:val="0"/>
              <w:spacing w:before="0" w:after="283"/>
              <w:jc w:val="left"/>
              <w:rPr/>
            </w:pPr>
            <w:r>
              <w:rPr/>
              <w:t> </w:t>
            </w:r>
          </w:p>
        </w:tc>
        <w:tc>
          <w:tcPr>
            <w:tcW w:w="665" w:type="dxa"/>
            <w:tcBorders/>
            <w:shd w:fill="C6F4F9" w:val="clear"/>
            <w:vAlign w:val="center"/>
          </w:tcPr>
          <w:p>
            <w:pPr>
              <w:pStyle w:val="TableContents"/>
              <w:bidi w:val="0"/>
              <w:spacing w:before="0" w:after="283"/>
              <w:jc w:val="right"/>
              <w:rPr/>
            </w:pPr>
            <w:r>
              <w:rPr/>
              <w:t> </w:t>
            </w:r>
          </w:p>
        </w:tc>
      </w:tr>
      <w:tr>
        <w:trPr/>
        <w:tc>
          <w:tcPr>
            <w:tcW w:w="500" w:type="dxa"/>
            <w:tcBorders/>
            <w:shd w:fill="FFFFFF" w:val="clear"/>
            <w:vAlign w:val="center"/>
          </w:tcPr>
          <w:p>
            <w:pPr>
              <w:pStyle w:val="TableContents"/>
              <w:bidi w:val="0"/>
              <w:spacing w:before="0" w:after="283"/>
              <w:jc w:val="left"/>
              <w:rPr>
                <w:sz w:val="20"/>
              </w:rPr>
            </w:pPr>
            <w:r>
              <w:rPr>
                <w:sz w:val="20"/>
              </w:rPr>
              <w:t>7.01</w:t>
            </w:r>
          </w:p>
        </w:tc>
        <w:tc>
          <w:tcPr>
            <w:tcW w:w="9040" w:type="dxa"/>
            <w:tcBorders/>
            <w:shd w:fill="FFFFFF" w:val="clear"/>
            <w:vAlign w:val="center"/>
          </w:tcPr>
          <w:p>
            <w:pPr>
              <w:pStyle w:val="TableContents"/>
              <w:bidi w:val="0"/>
              <w:spacing w:before="0" w:after="283"/>
              <w:jc w:val="left"/>
              <w:rPr>
                <w:sz w:val="20"/>
              </w:rPr>
            </w:pPr>
            <w:r>
              <w:rPr>
                <w:sz w:val="20"/>
              </w:rPr>
              <w:t>Liens</w:t>
            </w:r>
          </w:p>
        </w:tc>
        <w:tc>
          <w:tcPr>
            <w:tcW w:w="665" w:type="dxa"/>
            <w:tcBorders/>
            <w:shd w:fill="FFFFFF" w:val="clear"/>
            <w:vAlign w:val="center"/>
          </w:tcPr>
          <w:p>
            <w:pPr>
              <w:pStyle w:val="TableContents"/>
              <w:bidi w:val="0"/>
              <w:spacing w:before="0" w:after="283"/>
              <w:jc w:val="right"/>
              <w:rPr>
                <w:sz w:val="20"/>
              </w:rPr>
            </w:pPr>
            <w:r>
              <w:rPr>
                <w:sz w:val="20"/>
              </w:rPr>
              <w:t>116</w:t>
            </w:r>
          </w:p>
        </w:tc>
      </w:tr>
      <w:tr>
        <w:trPr/>
        <w:tc>
          <w:tcPr>
            <w:tcW w:w="500" w:type="dxa"/>
            <w:tcBorders/>
            <w:shd w:fill="C6F4F9" w:val="clear"/>
            <w:vAlign w:val="center"/>
          </w:tcPr>
          <w:p>
            <w:pPr>
              <w:pStyle w:val="TableContents"/>
              <w:bidi w:val="0"/>
              <w:spacing w:before="0" w:after="283"/>
              <w:jc w:val="left"/>
              <w:rPr>
                <w:sz w:val="20"/>
              </w:rPr>
            </w:pPr>
            <w:r>
              <w:rPr>
                <w:sz w:val="20"/>
              </w:rPr>
              <w:t>7.02</w:t>
            </w:r>
          </w:p>
        </w:tc>
        <w:tc>
          <w:tcPr>
            <w:tcW w:w="9040" w:type="dxa"/>
            <w:tcBorders/>
            <w:shd w:fill="C6F4F9" w:val="clear"/>
            <w:vAlign w:val="center"/>
          </w:tcPr>
          <w:p>
            <w:pPr>
              <w:pStyle w:val="TableContents"/>
              <w:bidi w:val="0"/>
              <w:spacing w:before="0" w:after="283"/>
              <w:jc w:val="left"/>
              <w:rPr>
                <w:sz w:val="20"/>
              </w:rPr>
            </w:pPr>
            <w:r>
              <w:rPr>
                <w:sz w:val="20"/>
              </w:rPr>
              <w:t>Indebtedness</w:t>
            </w:r>
          </w:p>
        </w:tc>
        <w:tc>
          <w:tcPr>
            <w:tcW w:w="665" w:type="dxa"/>
            <w:tcBorders/>
            <w:shd w:fill="C6F4F9" w:val="clear"/>
            <w:vAlign w:val="center"/>
          </w:tcPr>
          <w:p>
            <w:pPr>
              <w:pStyle w:val="TableContents"/>
              <w:bidi w:val="0"/>
              <w:spacing w:before="0" w:after="283"/>
              <w:jc w:val="right"/>
              <w:rPr>
                <w:sz w:val="20"/>
              </w:rPr>
            </w:pPr>
            <w:r>
              <w:rPr>
                <w:sz w:val="20"/>
              </w:rPr>
              <w:t>118</w:t>
            </w:r>
          </w:p>
        </w:tc>
      </w:tr>
      <w:tr>
        <w:trPr/>
        <w:tc>
          <w:tcPr>
            <w:tcW w:w="500" w:type="dxa"/>
            <w:tcBorders/>
            <w:shd w:fill="FFFFFF" w:val="clear"/>
            <w:vAlign w:val="center"/>
          </w:tcPr>
          <w:p>
            <w:pPr>
              <w:pStyle w:val="TableContents"/>
              <w:bidi w:val="0"/>
              <w:spacing w:before="0" w:after="283"/>
              <w:jc w:val="left"/>
              <w:rPr>
                <w:sz w:val="20"/>
              </w:rPr>
            </w:pPr>
            <w:r>
              <w:rPr>
                <w:sz w:val="20"/>
              </w:rPr>
              <w:t>7.03</w:t>
            </w:r>
          </w:p>
        </w:tc>
        <w:tc>
          <w:tcPr>
            <w:tcW w:w="9040" w:type="dxa"/>
            <w:tcBorders/>
            <w:shd w:fill="FFFFFF" w:val="clear"/>
            <w:vAlign w:val="center"/>
          </w:tcPr>
          <w:p>
            <w:pPr>
              <w:pStyle w:val="TableContents"/>
              <w:bidi w:val="0"/>
              <w:spacing w:before="0" w:after="283"/>
              <w:jc w:val="left"/>
              <w:rPr>
                <w:sz w:val="20"/>
              </w:rPr>
            </w:pPr>
            <w:r>
              <w:rPr>
                <w:sz w:val="20"/>
              </w:rPr>
              <w:t>Investments</w:t>
            </w:r>
          </w:p>
        </w:tc>
        <w:tc>
          <w:tcPr>
            <w:tcW w:w="665" w:type="dxa"/>
            <w:tcBorders/>
            <w:shd w:fill="FFFFFF" w:val="clear"/>
            <w:vAlign w:val="center"/>
          </w:tcPr>
          <w:p>
            <w:pPr>
              <w:pStyle w:val="TableContents"/>
              <w:bidi w:val="0"/>
              <w:spacing w:before="0" w:after="283"/>
              <w:jc w:val="right"/>
              <w:rPr>
                <w:sz w:val="20"/>
              </w:rPr>
            </w:pPr>
            <w:r>
              <w:rPr>
                <w:sz w:val="20"/>
              </w:rPr>
              <w:t>119</w:t>
            </w:r>
          </w:p>
        </w:tc>
      </w:tr>
      <w:tr>
        <w:trPr/>
        <w:tc>
          <w:tcPr>
            <w:tcW w:w="500" w:type="dxa"/>
            <w:tcBorders/>
            <w:shd w:fill="C6F4F9" w:val="clear"/>
            <w:vAlign w:val="center"/>
          </w:tcPr>
          <w:p>
            <w:pPr>
              <w:pStyle w:val="TableContents"/>
              <w:bidi w:val="0"/>
              <w:spacing w:before="0" w:after="283"/>
              <w:jc w:val="left"/>
              <w:rPr>
                <w:sz w:val="20"/>
              </w:rPr>
            </w:pPr>
            <w:r>
              <w:rPr>
                <w:sz w:val="20"/>
              </w:rPr>
              <w:t>7.04</w:t>
            </w:r>
          </w:p>
        </w:tc>
        <w:tc>
          <w:tcPr>
            <w:tcW w:w="9040" w:type="dxa"/>
            <w:tcBorders/>
            <w:shd w:fill="C6F4F9" w:val="clear"/>
            <w:vAlign w:val="center"/>
          </w:tcPr>
          <w:p>
            <w:pPr>
              <w:pStyle w:val="TableContents"/>
              <w:bidi w:val="0"/>
              <w:spacing w:before="0" w:after="283"/>
              <w:jc w:val="left"/>
              <w:rPr>
                <w:sz w:val="20"/>
              </w:rPr>
            </w:pPr>
            <w:r>
              <w:rPr>
                <w:sz w:val="20"/>
              </w:rPr>
              <w:t>Fundamental Changes</w:t>
            </w:r>
          </w:p>
        </w:tc>
        <w:tc>
          <w:tcPr>
            <w:tcW w:w="665" w:type="dxa"/>
            <w:tcBorders/>
            <w:shd w:fill="C6F4F9" w:val="clear"/>
            <w:vAlign w:val="center"/>
          </w:tcPr>
          <w:p>
            <w:pPr>
              <w:pStyle w:val="TableContents"/>
              <w:bidi w:val="0"/>
              <w:spacing w:before="0" w:after="283"/>
              <w:jc w:val="right"/>
              <w:rPr>
                <w:sz w:val="20"/>
              </w:rPr>
            </w:pPr>
            <w:r>
              <w:rPr>
                <w:sz w:val="20"/>
              </w:rPr>
              <w:t>120</w:t>
            </w:r>
          </w:p>
        </w:tc>
      </w:tr>
      <w:tr>
        <w:trPr/>
        <w:tc>
          <w:tcPr>
            <w:tcW w:w="500" w:type="dxa"/>
            <w:tcBorders/>
            <w:shd w:fill="FFFFFF" w:val="clear"/>
            <w:vAlign w:val="center"/>
          </w:tcPr>
          <w:p>
            <w:pPr>
              <w:pStyle w:val="TableContents"/>
              <w:bidi w:val="0"/>
              <w:spacing w:before="0" w:after="283"/>
              <w:jc w:val="left"/>
              <w:rPr>
                <w:sz w:val="20"/>
              </w:rPr>
            </w:pPr>
            <w:r>
              <w:rPr>
                <w:sz w:val="20"/>
              </w:rPr>
              <w:t>7.05</w:t>
            </w:r>
          </w:p>
        </w:tc>
        <w:tc>
          <w:tcPr>
            <w:tcW w:w="9040" w:type="dxa"/>
            <w:tcBorders/>
            <w:shd w:fill="FFFFFF" w:val="clear"/>
            <w:vAlign w:val="center"/>
          </w:tcPr>
          <w:p>
            <w:pPr>
              <w:pStyle w:val="TableContents"/>
              <w:bidi w:val="0"/>
              <w:spacing w:before="0" w:after="283"/>
              <w:jc w:val="left"/>
              <w:rPr>
                <w:sz w:val="20"/>
              </w:rPr>
            </w:pPr>
            <w:r>
              <w:rPr>
                <w:sz w:val="20"/>
              </w:rPr>
              <w:t>Dispositions</w:t>
            </w:r>
          </w:p>
        </w:tc>
        <w:tc>
          <w:tcPr>
            <w:tcW w:w="665" w:type="dxa"/>
            <w:tcBorders/>
            <w:shd w:fill="FFFFFF" w:val="clear"/>
            <w:vAlign w:val="center"/>
          </w:tcPr>
          <w:p>
            <w:pPr>
              <w:pStyle w:val="TableContents"/>
              <w:bidi w:val="0"/>
              <w:spacing w:before="0" w:after="283"/>
              <w:jc w:val="right"/>
              <w:rPr>
                <w:sz w:val="20"/>
              </w:rPr>
            </w:pPr>
            <w:r>
              <w:rPr>
                <w:sz w:val="20"/>
              </w:rPr>
              <w:t>121</w:t>
            </w:r>
          </w:p>
        </w:tc>
      </w:tr>
      <w:tr>
        <w:trPr/>
        <w:tc>
          <w:tcPr>
            <w:tcW w:w="500" w:type="dxa"/>
            <w:tcBorders/>
            <w:shd w:fill="C6F4F9" w:val="clear"/>
            <w:vAlign w:val="center"/>
          </w:tcPr>
          <w:p>
            <w:pPr>
              <w:pStyle w:val="TableContents"/>
              <w:bidi w:val="0"/>
              <w:spacing w:before="0" w:after="283"/>
              <w:jc w:val="left"/>
              <w:rPr>
                <w:sz w:val="20"/>
              </w:rPr>
            </w:pPr>
            <w:r>
              <w:rPr>
                <w:sz w:val="20"/>
              </w:rPr>
              <w:t>7.06</w:t>
            </w:r>
          </w:p>
        </w:tc>
        <w:tc>
          <w:tcPr>
            <w:tcW w:w="9040" w:type="dxa"/>
            <w:tcBorders/>
            <w:shd w:fill="C6F4F9" w:val="clear"/>
            <w:vAlign w:val="center"/>
          </w:tcPr>
          <w:p>
            <w:pPr>
              <w:pStyle w:val="TableContents"/>
              <w:bidi w:val="0"/>
              <w:spacing w:before="0" w:after="283"/>
              <w:jc w:val="left"/>
              <w:rPr>
                <w:sz w:val="20"/>
              </w:rPr>
            </w:pPr>
            <w:r>
              <w:rPr>
                <w:sz w:val="20"/>
              </w:rPr>
              <w:t>Restricted Payments</w:t>
            </w:r>
          </w:p>
        </w:tc>
        <w:tc>
          <w:tcPr>
            <w:tcW w:w="665" w:type="dxa"/>
            <w:tcBorders/>
            <w:shd w:fill="C6F4F9" w:val="clear"/>
            <w:vAlign w:val="center"/>
          </w:tcPr>
          <w:p>
            <w:pPr>
              <w:pStyle w:val="TableContents"/>
              <w:bidi w:val="0"/>
              <w:spacing w:before="0" w:after="283"/>
              <w:jc w:val="right"/>
              <w:rPr>
                <w:sz w:val="20"/>
              </w:rPr>
            </w:pPr>
            <w:r>
              <w:rPr>
                <w:sz w:val="20"/>
              </w:rPr>
              <w:t>122</w:t>
            </w:r>
          </w:p>
        </w:tc>
      </w:tr>
      <w:tr>
        <w:trPr/>
        <w:tc>
          <w:tcPr>
            <w:tcW w:w="500" w:type="dxa"/>
            <w:tcBorders/>
            <w:shd w:fill="FFFFFF" w:val="clear"/>
            <w:vAlign w:val="center"/>
          </w:tcPr>
          <w:p>
            <w:pPr>
              <w:pStyle w:val="TableContents"/>
              <w:bidi w:val="0"/>
              <w:spacing w:before="0" w:after="283"/>
              <w:jc w:val="left"/>
              <w:rPr>
                <w:sz w:val="20"/>
              </w:rPr>
            </w:pPr>
            <w:r>
              <w:rPr>
                <w:sz w:val="20"/>
              </w:rPr>
              <w:t>7.07</w:t>
            </w:r>
          </w:p>
        </w:tc>
        <w:tc>
          <w:tcPr>
            <w:tcW w:w="9040" w:type="dxa"/>
            <w:tcBorders/>
            <w:shd w:fill="FFFFFF" w:val="clear"/>
            <w:vAlign w:val="center"/>
          </w:tcPr>
          <w:p>
            <w:pPr>
              <w:pStyle w:val="TableContents"/>
              <w:bidi w:val="0"/>
              <w:spacing w:before="0" w:after="283"/>
              <w:jc w:val="left"/>
              <w:rPr>
                <w:sz w:val="20"/>
              </w:rPr>
            </w:pPr>
            <w:r>
              <w:rPr>
                <w:sz w:val="20"/>
              </w:rPr>
              <w:t>Change in Nature of Business</w:t>
            </w:r>
          </w:p>
        </w:tc>
        <w:tc>
          <w:tcPr>
            <w:tcW w:w="665" w:type="dxa"/>
            <w:tcBorders/>
            <w:shd w:fill="FFFFFF" w:val="clear"/>
            <w:vAlign w:val="center"/>
          </w:tcPr>
          <w:p>
            <w:pPr>
              <w:pStyle w:val="TableContents"/>
              <w:bidi w:val="0"/>
              <w:spacing w:before="0" w:after="283"/>
              <w:jc w:val="right"/>
              <w:rPr>
                <w:sz w:val="20"/>
              </w:rPr>
            </w:pPr>
            <w:r>
              <w:rPr>
                <w:sz w:val="20"/>
              </w:rPr>
              <w:t>122</w:t>
            </w:r>
          </w:p>
        </w:tc>
      </w:tr>
      <w:tr>
        <w:trPr/>
        <w:tc>
          <w:tcPr>
            <w:tcW w:w="500" w:type="dxa"/>
            <w:tcBorders/>
            <w:shd w:fill="C6F4F9" w:val="clear"/>
            <w:vAlign w:val="center"/>
          </w:tcPr>
          <w:p>
            <w:pPr>
              <w:pStyle w:val="TableContents"/>
              <w:bidi w:val="0"/>
              <w:spacing w:before="0" w:after="283"/>
              <w:jc w:val="left"/>
              <w:rPr>
                <w:sz w:val="20"/>
              </w:rPr>
            </w:pPr>
            <w:r>
              <w:rPr>
                <w:sz w:val="20"/>
              </w:rPr>
              <w:t>7.08</w:t>
            </w:r>
          </w:p>
        </w:tc>
        <w:tc>
          <w:tcPr>
            <w:tcW w:w="9040" w:type="dxa"/>
            <w:tcBorders/>
            <w:shd w:fill="C6F4F9" w:val="clear"/>
            <w:vAlign w:val="center"/>
          </w:tcPr>
          <w:p>
            <w:pPr>
              <w:pStyle w:val="TableContents"/>
              <w:bidi w:val="0"/>
              <w:spacing w:before="0" w:after="283"/>
              <w:jc w:val="left"/>
              <w:rPr>
                <w:sz w:val="20"/>
              </w:rPr>
            </w:pPr>
            <w:r>
              <w:rPr>
                <w:sz w:val="20"/>
              </w:rPr>
              <w:t>Transactions with Affiliates</w:t>
            </w:r>
          </w:p>
        </w:tc>
        <w:tc>
          <w:tcPr>
            <w:tcW w:w="665" w:type="dxa"/>
            <w:tcBorders/>
            <w:shd w:fill="C6F4F9" w:val="clear"/>
            <w:vAlign w:val="center"/>
          </w:tcPr>
          <w:p>
            <w:pPr>
              <w:pStyle w:val="TableContents"/>
              <w:bidi w:val="0"/>
              <w:spacing w:before="0" w:after="283"/>
              <w:jc w:val="right"/>
              <w:rPr>
                <w:sz w:val="20"/>
              </w:rPr>
            </w:pPr>
            <w:r>
              <w:rPr>
                <w:sz w:val="20"/>
              </w:rPr>
              <w:t>123</w:t>
            </w:r>
          </w:p>
        </w:tc>
      </w:tr>
      <w:tr>
        <w:trPr/>
        <w:tc>
          <w:tcPr>
            <w:tcW w:w="500" w:type="dxa"/>
            <w:tcBorders/>
            <w:shd w:fill="FFFFFF" w:val="clear"/>
            <w:vAlign w:val="center"/>
          </w:tcPr>
          <w:p>
            <w:pPr>
              <w:pStyle w:val="TableContents"/>
              <w:bidi w:val="0"/>
              <w:spacing w:before="0" w:after="283"/>
              <w:jc w:val="left"/>
              <w:rPr>
                <w:sz w:val="20"/>
              </w:rPr>
            </w:pPr>
            <w:r>
              <w:rPr>
                <w:sz w:val="20"/>
              </w:rPr>
              <w:t>7.09</w:t>
            </w:r>
          </w:p>
        </w:tc>
        <w:tc>
          <w:tcPr>
            <w:tcW w:w="9040" w:type="dxa"/>
            <w:tcBorders/>
            <w:shd w:fill="FFFFFF" w:val="clear"/>
            <w:vAlign w:val="center"/>
          </w:tcPr>
          <w:p>
            <w:pPr>
              <w:pStyle w:val="TableContents"/>
              <w:bidi w:val="0"/>
              <w:spacing w:before="0" w:after="283"/>
              <w:jc w:val="left"/>
              <w:rPr>
                <w:sz w:val="20"/>
              </w:rPr>
            </w:pPr>
            <w:r>
              <w:rPr>
                <w:sz w:val="20"/>
              </w:rPr>
              <w:t>Burdensome Agreements</w:t>
            </w:r>
          </w:p>
        </w:tc>
        <w:tc>
          <w:tcPr>
            <w:tcW w:w="665" w:type="dxa"/>
            <w:tcBorders/>
            <w:shd w:fill="FFFFFF" w:val="clear"/>
            <w:vAlign w:val="center"/>
          </w:tcPr>
          <w:p>
            <w:pPr>
              <w:pStyle w:val="TableContents"/>
              <w:bidi w:val="0"/>
              <w:spacing w:before="0" w:after="283"/>
              <w:jc w:val="right"/>
              <w:rPr>
                <w:sz w:val="20"/>
              </w:rPr>
            </w:pPr>
            <w:r>
              <w:rPr>
                <w:sz w:val="20"/>
              </w:rPr>
              <w:t>123</w:t>
            </w:r>
          </w:p>
        </w:tc>
      </w:tr>
      <w:tr>
        <w:trPr/>
        <w:tc>
          <w:tcPr>
            <w:tcW w:w="500" w:type="dxa"/>
            <w:tcBorders/>
            <w:shd w:fill="C6F4F9" w:val="clear"/>
            <w:vAlign w:val="center"/>
          </w:tcPr>
          <w:p>
            <w:pPr>
              <w:pStyle w:val="TableContents"/>
              <w:bidi w:val="0"/>
              <w:spacing w:before="0" w:after="283"/>
              <w:jc w:val="left"/>
              <w:rPr>
                <w:sz w:val="20"/>
              </w:rPr>
            </w:pPr>
            <w:r>
              <w:rPr>
                <w:sz w:val="20"/>
              </w:rPr>
              <w:t>7.10</w:t>
            </w:r>
          </w:p>
        </w:tc>
        <w:tc>
          <w:tcPr>
            <w:tcW w:w="9040" w:type="dxa"/>
            <w:tcBorders/>
            <w:shd w:fill="C6F4F9" w:val="clear"/>
            <w:vAlign w:val="center"/>
          </w:tcPr>
          <w:p>
            <w:pPr>
              <w:pStyle w:val="TableContents"/>
              <w:bidi w:val="0"/>
              <w:spacing w:before="0" w:after="283"/>
              <w:jc w:val="left"/>
              <w:rPr>
                <w:sz w:val="20"/>
              </w:rPr>
            </w:pPr>
            <w:r>
              <w:rPr>
                <w:sz w:val="20"/>
              </w:rPr>
              <w:t>Use of Proceeds</w:t>
            </w:r>
          </w:p>
        </w:tc>
        <w:tc>
          <w:tcPr>
            <w:tcW w:w="665" w:type="dxa"/>
            <w:tcBorders/>
            <w:shd w:fill="C6F4F9" w:val="clear"/>
            <w:vAlign w:val="center"/>
          </w:tcPr>
          <w:p>
            <w:pPr>
              <w:pStyle w:val="TableContents"/>
              <w:bidi w:val="0"/>
              <w:spacing w:before="0" w:after="283"/>
              <w:jc w:val="right"/>
              <w:rPr>
                <w:sz w:val="20"/>
              </w:rPr>
            </w:pPr>
            <w:r>
              <w:rPr>
                <w:sz w:val="20"/>
              </w:rPr>
              <w:t>123</w:t>
            </w:r>
          </w:p>
        </w:tc>
      </w:tr>
      <w:tr>
        <w:trPr/>
        <w:tc>
          <w:tcPr>
            <w:tcW w:w="500" w:type="dxa"/>
            <w:tcBorders/>
            <w:shd w:fill="FFFFFF" w:val="clear"/>
            <w:vAlign w:val="center"/>
          </w:tcPr>
          <w:p>
            <w:pPr>
              <w:pStyle w:val="TableContents"/>
              <w:bidi w:val="0"/>
              <w:spacing w:before="0" w:after="283"/>
              <w:jc w:val="left"/>
              <w:rPr>
                <w:sz w:val="20"/>
              </w:rPr>
            </w:pPr>
            <w:r>
              <w:rPr>
                <w:sz w:val="20"/>
              </w:rPr>
              <w:t>7.11</w:t>
            </w:r>
          </w:p>
        </w:tc>
        <w:tc>
          <w:tcPr>
            <w:tcW w:w="9040" w:type="dxa"/>
            <w:tcBorders/>
            <w:shd w:fill="FFFFFF" w:val="clear"/>
            <w:vAlign w:val="center"/>
          </w:tcPr>
          <w:p>
            <w:pPr>
              <w:pStyle w:val="TableContents"/>
              <w:bidi w:val="0"/>
              <w:spacing w:before="0" w:after="283"/>
              <w:jc w:val="left"/>
              <w:rPr>
                <w:sz w:val="20"/>
              </w:rPr>
            </w:pPr>
            <w:r>
              <w:rPr>
                <w:sz w:val="20"/>
              </w:rPr>
              <w:t>Financial Covenants</w:t>
            </w:r>
          </w:p>
        </w:tc>
        <w:tc>
          <w:tcPr>
            <w:tcW w:w="665" w:type="dxa"/>
            <w:tcBorders/>
            <w:shd w:fill="FFFFFF" w:val="clear"/>
            <w:vAlign w:val="center"/>
          </w:tcPr>
          <w:p>
            <w:pPr>
              <w:pStyle w:val="TableContents"/>
              <w:bidi w:val="0"/>
              <w:spacing w:before="0" w:after="283"/>
              <w:jc w:val="right"/>
              <w:rPr>
                <w:sz w:val="20"/>
              </w:rPr>
            </w:pPr>
            <w:r>
              <w:rPr>
                <w:sz w:val="20"/>
              </w:rPr>
              <w:t>124</w:t>
            </w:r>
          </w:p>
        </w:tc>
      </w:tr>
      <w:tr>
        <w:trPr/>
        <w:tc>
          <w:tcPr>
            <w:tcW w:w="500" w:type="dxa"/>
            <w:tcBorders/>
            <w:shd w:fill="C6F4F9" w:val="clear"/>
            <w:vAlign w:val="center"/>
          </w:tcPr>
          <w:p>
            <w:pPr>
              <w:pStyle w:val="TableContents"/>
              <w:bidi w:val="0"/>
              <w:spacing w:before="0" w:after="283"/>
              <w:jc w:val="left"/>
              <w:rPr>
                <w:sz w:val="20"/>
              </w:rPr>
            </w:pPr>
            <w:r>
              <w:rPr>
                <w:sz w:val="20"/>
              </w:rPr>
              <w:t>7.12</w:t>
            </w:r>
          </w:p>
        </w:tc>
        <w:tc>
          <w:tcPr>
            <w:tcW w:w="9040" w:type="dxa"/>
            <w:tcBorders/>
            <w:shd w:fill="C6F4F9" w:val="clear"/>
            <w:vAlign w:val="center"/>
          </w:tcPr>
          <w:p>
            <w:pPr>
              <w:pStyle w:val="TableContents"/>
              <w:bidi w:val="0"/>
              <w:spacing w:before="0" w:after="283"/>
              <w:jc w:val="left"/>
              <w:rPr>
                <w:sz w:val="20"/>
              </w:rPr>
            </w:pPr>
            <w:r>
              <w:rPr>
                <w:sz w:val="20"/>
              </w:rPr>
              <w:t>Maximum Capital Expenditures</w:t>
            </w:r>
          </w:p>
        </w:tc>
        <w:tc>
          <w:tcPr>
            <w:tcW w:w="665" w:type="dxa"/>
            <w:tcBorders/>
            <w:shd w:fill="C6F4F9" w:val="clear"/>
            <w:vAlign w:val="center"/>
          </w:tcPr>
          <w:p>
            <w:pPr>
              <w:pStyle w:val="TableContents"/>
              <w:bidi w:val="0"/>
              <w:spacing w:before="0" w:after="283"/>
              <w:jc w:val="right"/>
              <w:rPr>
                <w:sz w:val="20"/>
              </w:rPr>
            </w:pPr>
            <w:r>
              <w:rPr>
                <w:sz w:val="20"/>
              </w:rPr>
              <w:t>124</w:t>
            </w:r>
          </w:p>
        </w:tc>
      </w:tr>
      <w:tr>
        <w:trPr/>
        <w:tc>
          <w:tcPr>
            <w:tcW w:w="500" w:type="dxa"/>
            <w:tcBorders/>
            <w:shd w:fill="FFFFFF" w:val="clear"/>
            <w:vAlign w:val="center"/>
          </w:tcPr>
          <w:p>
            <w:pPr>
              <w:pStyle w:val="TableContents"/>
              <w:bidi w:val="0"/>
              <w:spacing w:before="0" w:after="283"/>
              <w:jc w:val="left"/>
              <w:rPr>
                <w:sz w:val="20"/>
              </w:rPr>
            </w:pPr>
            <w:r>
              <w:rPr>
                <w:sz w:val="20"/>
              </w:rPr>
              <w:t>7.13</w:t>
            </w:r>
          </w:p>
        </w:tc>
        <w:tc>
          <w:tcPr>
            <w:tcW w:w="9040" w:type="dxa"/>
            <w:tcBorders/>
            <w:shd w:fill="FFFFFF" w:val="clear"/>
            <w:vAlign w:val="center"/>
          </w:tcPr>
          <w:p>
            <w:pPr>
              <w:pStyle w:val="TableContents"/>
              <w:bidi w:val="0"/>
              <w:spacing w:before="0" w:after="283"/>
              <w:jc w:val="left"/>
              <w:rPr>
                <w:sz w:val="20"/>
              </w:rPr>
            </w:pPr>
            <w:r>
              <w:rPr>
                <w:sz w:val="20"/>
              </w:rPr>
              <w:t>Amendments of Organization Documents; Fiscal Year; Legal Name, State of Formation; Form of Entity and Accounting Changes</w:t>
            </w:r>
          </w:p>
        </w:tc>
        <w:tc>
          <w:tcPr>
            <w:tcW w:w="665" w:type="dxa"/>
            <w:tcBorders/>
            <w:shd w:fill="FFFFFF" w:val="clear"/>
            <w:vAlign w:val="center"/>
          </w:tcPr>
          <w:p>
            <w:pPr>
              <w:pStyle w:val="TableContents"/>
              <w:bidi w:val="0"/>
              <w:spacing w:before="0" w:after="283"/>
              <w:jc w:val="right"/>
              <w:rPr>
                <w:sz w:val="20"/>
              </w:rPr>
            </w:pPr>
            <w:r>
              <w:rPr>
                <w:sz w:val="20"/>
              </w:rPr>
              <w:t>124</w:t>
            </w:r>
          </w:p>
        </w:tc>
      </w:tr>
      <w:tr>
        <w:trPr/>
        <w:tc>
          <w:tcPr>
            <w:tcW w:w="500" w:type="dxa"/>
            <w:tcBorders/>
            <w:shd w:fill="C6F4F9" w:val="clear"/>
            <w:vAlign w:val="center"/>
          </w:tcPr>
          <w:p>
            <w:pPr>
              <w:pStyle w:val="TableContents"/>
              <w:bidi w:val="0"/>
              <w:spacing w:before="0" w:after="283"/>
              <w:jc w:val="left"/>
              <w:rPr>
                <w:sz w:val="20"/>
              </w:rPr>
            </w:pPr>
            <w:r>
              <w:rPr>
                <w:sz w:val="20"/>
              </w:rPr>
              <w:t>7.14</w:t>
            </w:r>
          </w:p>
        </w:tc>
        <w:tc>
          <w:tcPr>
            <w:tcW w:w="9040" w:type="dxa"/>
            <w:tcBorders/>
            <w:shd w:fill="C6F4F9" w:val="clear"/>
            <w:vAlign w:val="center"/>
          </w:tcPr>
          <w:p>
            <w:pPr>
              <w:pStyle w:val="TableContents"/>
              <w:bidi w:val="0"/>
              <w:spacing w:before="0" w:after="283"/>
              <w:jc w:val="left"/>
              <w:rPr>
                <w:sz w:val="20"/>
              </w:rPr>
            </w:pPr>
            <w:r>
              <w:rPr>
                <w:sz w:val="20"/>
              </w:rPr>
              <w:t>Sale and Leaseback Transactions</w:t>
            </w:r>
          </w:p>
        </w:tc>
        <w:tc>
          <w:tcPr>
            <w:tcW w:w="665" w:type="dxa"/>
            <w:tcBorders/>
            <w:shd w:fill="C6F4F9" w:val="clear"/>
            <w:vAlign w:val="center"/>
          </w:tcPr>
          <w:p>
            <w:pPr>
              <w:pStyle w:val="TableContents"/>
              <w:bidi w:val="0"/>
              <w:spacing w:before="0" w:after="283"/>
              <w:jc w:val="right"/>
              <w:rPr>
                <w:sz w:val="20"/>
              </w:rPr>
            </w:pPr>
            <w:r>
              <w:rPr>
                <w:sz w:val="20"/>
              </w:rPr>
              <w:t>124</w:t>
            </w:r>
          </w:p>
        </w:tc>
      </w:tr>
      <w:tr>
        <w:trPr/>
        <w:tc>
          <w:tcPr>
            <w:tcW w:w="500" w:type="dxa"/>
            <w:tcBorders/>
            <w:shd w:fill="FFFFFF" w:val="clear"/>
            <w:vAlign w:val="center"/>
          </w:tcPr>
          <w:p>
            <w:pPr>
              <w:pStyle w:val="TableContents"/>
              <w:bidi w:val="0"/>
              <w:spacing w:before="0" w:after="283"/>
              <w:jc w:val="left"/>
              <w:rPr>
                <w:sz w:val="20"/>
              </w:rPr>
            </w:pPr>
            <w:r>
              <w:rPr>
                <w:sz w:val="20"/>
              </w:rPr>
              <w:t>7.15</w:t>
            </w:r>
          </w:p>
        </w:tc>
        <w:tc>
          <w:tcPr>
            <w:tcW w:w="9040" w:type="dxa"/>
            <w:tcBorders/>
            <w:shd w:fill="FFFFFF" w:val="clear"/>
            <w:vAlign w:val="center"/>
          </w:tcPr>
          <w:p>
            <w:pPr>
              <w:pStyle w:val="TableContents"/>
              <w:bidi w:val="0"/>
              <w:spacing w:before="0" w:after="283"/>
              <w:jc w:val="left"/>
              <w:rPr>
                <w:sz w:val="20"/>
              </w:rPr>
            </w:pPr>
            <w:r>
              <w:rPr>
                <w:sz w:val="20"/>
              </w:rPr>
              <w:t>Securitization Transactions</w:t>
            </w:r>
          </w:p>
        </w:tc>
        <w:tc>
          <w:tcPr>
            <w:tcW w:w="665" w:type="dxa"/>
            <w:tcBorders/>
            <w:shd w:fill="FFFFFF" w:val="clear"/>
            <w:vAlign w:val="center"/>
          </w:tcPr>
          <w:p>
            <w:pPr>
              <w:pStyle w:val="TableContents"/>
              <w:bidi w:val="0"/>
              <w:spacing w:before="0" w:after="283"/>
              <w:jc w:val="right"/>
              <w:rPr>
                <w:sz w:val="20"/>
              </w:rPr>
            </w:pPr>
            <w:r>
              <w:rPr>
                <w:sz w:val="20"/>
              </w:rPr>
              <w:t>124</w:t>
            </w:r>
          </w:p>
        </w:tc>
      </w:tr>
      <w:tr>
        <w:trPr/>
        <w:tc>
          <w:tcPr>
            <w:tcW w:w="500" w:type="dxa"/>
            <w:tcBorders/>
            <w:shd w:fill="C6F4F9" w:val="clear"/>
            <w:vAlign w:val="center"/>
          </w:tcPr>
          <w:p>
            <w:pPr>
              <w:pStyle w:val="TableContents"/>
              <w:bidi w:val="0"/>
              <w:spacing w:before="0" w:after="283"/>
              <w:jc w:val="left"/>
              <w:rPr>
                <w:sz w:val="20"/>
              </w:rPr>
            </w:pPr>
            <w:r>
              <w:rPr>
                <w:sz w:val="20"/>
              </w:rPr>
              <w:t>7.16</w:t>
            </w:r>
          </w:p>
        </w:tc>
        <w:tc>
          <w:tcPr>
            <w:tcW w:w="9040" w:type="dxa"/>
            <w:tcBorders/>
            <w:shd w:fill="C6F4F9" w:val="clear"/>
            <w:vAlign w:val="center"/>
          </w:tcPr>
          <w:p>
            <w:pPr>
              <w:pStyle w:val="TableContents"/>
              <w:bidi w:val="0"/>
              <w:spacing w:before="0" w:after="283"/>
              <w:jc w:val="left"/>
              <w:rPr>
                <w:sz w:val="20"/>
              </w:rPr>
            </w:pPr>
            <w:r>
              <w:rPr>
                <w:sz w:val="20"/>
              </w:rPr>
              <w:t>Sanctions</w:t>
            </w:r>
          </w:p>
        </w:tc>
        <w:tc>
          <w:tcPr>
            <w:tcW w:w="665" w:type="dxa"/>
            <w:tcBorders/>
            <w:shd w:fill="C6F4F9" w:val="clear"/>
            <w:vAlign w:val="center"/>
          </w:tcPr>
          <w:p>
            <w:pPr>
              <w:pStyle w:val="TableContents"/>
              <w:bidi w:val="0"/>
              <w:spacing w:before="0" w:after="283"/>
              <w:jc w:val="right"/>
              <w:rPr>
                <w:sz w:val="20"/>
              </w:rPr>
            </w:pPr>
            <w:r>
              <w:rPr>
                <w:sz w:val="20"/>
              </w:rPr>
              <w:t>124</w:t>
            </w:r>
          </w:p>
        </w:tc>
      </w:tr>
      <w:tr>
        <w:trPr/>
        <w:tc>
          <w:tcPr>
            <w:tcW w:w="500" w:type="dxa"/>
            <w:tcBorders/>
            <w:shd w:fill="FFFFFF" w:val="clear"/>
            <w:vAlign w:val="center"/>
          </w:tcPr>
          <w:p>
            <w:pPr>
              <w:pStyle w:val="TableContents"/>
              <w:bidi w:val="0"/>
              <w:spacing w:before="0" w:after="283"/>
              <w:jc w:val="left"/>
              <w:rPr>
                <w:sz w:val="20"/>
              </w:rPr>
            </w:pPr>
            <w:r>
              <w:rPr>
                <w:sz w:val="20"/>
              </w:rPr>
              <w:t>7.17</w:t>
            </w:r>
          </w:p>
        </w:tc>
        <w:tc>
          <w:tcPr>
            <w:tcW w:w="9040" w:type="dxa"/>
            <w:tcBorders/>
            <w:shd w:fill="FFFFFF" w:val="clear"/>
            <w:vAlign w:val="center"/>
          </w:tcPr>
          <w:p>
            <w:pPr>
              <w:pStyle w:val="TableContents"/>
              <w:bidi w:val="0"/>
              <w:spacing w:before="0" w:after="283"/>
              <w:jc w:val="left"/>
              <w:rPr>
                <w:sz w:val="20"/>
              </w:rPr>
            </w:pPr>
            <w:r>
              <w:rPr>
                <w:sz w:val="20"/>
              </w:rPr>
              <w:t>Anti-Corruption Laws</w:t>
            </w:r>
          </w:p>
        </w:tc>
        <w:tc>
          <w:tcPr>
            <w:tcW w:w="665" w:type="dxa"/>
            <w:tcBorders/>
            <w:shd w:fill="FFFFFF" w:val="clear"/>
            <w:vAlign w:val="center"/>
          </w:tcPr>
          <w:p>
            <w:pPr>
              <w:pStyle w:val="TableContents"/>
              <w:bidi w:val="0"/>
              <w:spacing w:before="0" w:after="283"/>
              <w:jc w:val="right"/>
              <w:rPr>
                <w:sz w:val="20"/>
              </w:rPr>
            </w:pPr>
            <w:r>
              <w:rPr>
                <w:sz w:val="20"/>
              </w:rPr>
              <w:t>125</w:t>
            </w:r>
          </w:p>
        </w:tc>
      </w:tr>
      <w:tr>
        <w:trPr/>
        <w:tc>
          <w:tcPr>
            <w:tcW w:w="500" w:type="dxa"/>
            <w:tcBorders/>
            <w:shd w:fill="C6F4F9" w:val="clear"/>
            <w:vAlign w:val="center"/>
          </w:tcPr>
          <w:p>
            <w:pPr>
              <w:pStyle w:val="TableContents"/>
              <w:bidi w:val="0"/>
              <w:spacing w:before="0" w:after="283"/>
              <w:jc w:val="left"/>
              <w:rPr>
                <w:color w:val="0000FF"/>
                <w:sz w:val="20"/>
                <w:u w:val="single"/>
              </w:rPr>
            </w:pPr>
            <w:r>
              <w:rPr>
                <w:color w:val="0000FF"/>
                <w:sz w:val="20"/>
                <w:u w:val="single"/>
              </w:rPr>
              <w:t>7.18</w:t>
            </w:r>
          </w:p>
        </w:tc>
        <w:tc>
          <w:tcPr>
            <w:tcW w:w="9040" w:type="dxa"/>
            <w:tcBorders/>
            <w:shd w:fill="C6F4F9" w:val="clear"/>
            <w:vAlign w:val="center"/>
          </w:tcPr>
          <w:p>
            <w:pPr>
              <w:pStyle w:val="TableContents"/>
              <w:bidi w:val="0"/>
              <w:spacing w:before="0" w:after="283"/>
              <w:jc w:val="left"/>
              <w:rPr>
                <w:color w:val="0000FF"/>
                <w:sz w:val="20"/>
                <w:u w:val="single"/>
              </w:rPr>
            </w:pPr>
            <w:r>
              <w:rPr>
                <w:color w:val="0000FF"/>
                <w:sz w:val="20"/>
                <w:u w:val="single"/>
              </w:rPr>
              <w:t>Outbound Investment Rules</w:t>
            </w:r>
          </w:p>
        </w:tc>
        <w:tc>
          <w:tcPr>
            <w:tcW w:w="665" w:type="dxa"/>
            <w:tcBorders/>
            <w:shd w:fill="C6F4F9" w:val="clear"/>
            <w:vAlign w:val="center"/>
          </w:tcPr>
          <w:p>
            <w:pPr>
              <w:pStyle w:val="TableContents"/>
              <w:bidi w:val="0"/>
              <w:spacing w:before="0" w:after="283"/>
              <w:jc w:val="right"/>
              <w:rPr>
                <w:color w:val="0000FF"/>
                <w:sz w:val="20"/>
                <w:u w:val="single"/>
              </w:rPr>
            </w:pPr>
            <w:r>
              <w:rPr>
                <w:color w:val="0000FF"/>
                <w:sz w:val="20"/>
                <w:u w:val="single"/>
              </w:rPr>
              <w:t>125</w:t>
            </w:r>
          </w:p>
        </w:tc>
      </w:tr>
      <w:tr>
        <w:trPr/>
        <w:tc>
          <w:tcPr>
            <w:tcW w:w="500"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r>
      <w:tr>
        <w:trPr/>
        <w:tc>
          <w:tcPr>
            <w:tcW w:w="9540" w:type="dxa"/>
            <w:gridSpan w:val="2"/>
            <w:tcBorders/>
            <w:shd w:fill="C6F4F9" w:val="clear"/>
            <w:vAlign w:val="center"/>
          </w:tcPr>
          <w:p>
            <w:pPr>
              <w:pStyle w:val="TableContents"/>
              <w:bidi w:val="0"/>
              <w:spacing w:before="0" w:after="283"/>
              <w:jc w:val="left"/>
              <w:rPr/>
            </w:pPr>
            <w:r>
              <w:rPr>
                <w:caps/>
                <w:sz w:val="20"/>
              </w:rPr>
              <w:t>Article VIII EVENTS OF DEFAULT AND REMEDIES</w:t>
            </w:r>
            <w:r>
              <w:rPr/>
              <w:t xml:space="preserve"> </w:t>
            </w:r>
          </w:p>
        </w:tc>
        <w:tc>
          <w:tcPr>
            <w:tcW w:w="665" w:type="dxa"/>
            <w:tcBorders/>
            <w:shd w:fill="C6F4F9" w:val="clear"/>
            <w:vAlign w:val="center"/>
          </w:tcPr>
          <w:p>
            <w:pPr>
              <w:pStyle w:val="TableContents"/>
              <w:bidi w:val="0"/>
              <w:spacing w:before="0" w:after="283"/>
              <w:jc w:val="right"/>
              <w:rPr>
                <w:caps/>
                <w:sz w:val="20"/>
              </w:rPr>
            </w:pPr>
            <w:r>
              <w:rPr>
                <w:caps/>
                <w:sz w:val="20"/>
              </w:rPr>
              <w:t>125</w:t>
            </w:r>
          </w:p>
        </w:tc>
      </w:tr>
      <w:tr>
        <w:trPr/>
        <w:tc>
          <w:tcPr>
            <w:tcW w:w="9540" w:type="dxa"/>
            <w:gridSpan w:val="2"/>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r>
      <w:tr>
        <w:trPr/>
        <w:tc>
          <w:tcPr>
            <w:tcW w:w="500" w:type="dxa"/>
            <w:tcBorders/>
            <w:shd w:fill="C6F4F9" w:val="clear"/>
            <w:vAlign w:val="center"/>
          </w:tcPr>
          <w:p>
            <w:pPr>
              <w:pStyle w:val="TableContents"/>
              <w:bidi w:val="0"/>
              <w:spacing w:before="0" w:after="283"/>
              <w:jc w:val="left"/>
              <w:rPr>
                <w:sz w:val="20"/>
              </w:rPr>
            </w:pPr>
            <w:r>
              <w:rPr>
                <w:sz w:val="20"/>
              </w:rPr>
              <w:t>8.01</w:t>
            </w:r>
          </w:p>
        </w:tc>
        <w:tc>
          <w:tcPr>
            <w:tcW w:w="9040" w:type="dxa"/>
            <w:tcBorders/>
            <w:shd w:fill="C6F4F9" w:val="clear"/>
            <w:vAlign w:val="center"/>
          </w:tcPr>
          <w:p>
            <w:pPr>
              <w:pStyle w:val="TableContents"/>
              <w:bidi w:val="0"/>
              <w:spacing w:before="0" w:after="283"/>
              <w:jc w:val="left"/>
              <w:rPr>
                <w:sz w:val="20"/>
              </w:rPr>
            </w:pPr>
            <w:r>
              <w:rPr>
                <w:sz w:val="20"/>
              </w:rPr>
              <w:t>Events of Default</w:t>
            </w:r>
          </w:p>
        </w:tc>
        <w:tc>
          <w:tcPr>
            <w:tcW w:w="665" w:type="dxa"/>
            <w:tcBorders/>
            <w:shd w:fill="C6F4F9" w:val="clear"/>
            <w:vAlign w:val="center"/>
          </w:tcPr>
          <w:p>
            <w:pPr>
              <w:pStyle w:val="TableContents"/>
              <w:bidi w:val="0"/>
              <w:spacing w:before="0" w:after="283"/>
              <w:jc w:val="right"/>
              <w:rPr>
                <w:sz w:val="20"/>
              </w:rPr>
            </w:pPr>
            <w:r>
              <w:rPr>
                <w:sz w:val="20"/>
              </w:rPr>
              <w:t>125</w:t>
            </w:r>
          </w:p>
        </w:tc>
      </w:tr>
      <w:tr>
        <w:trPr/>
        <w:tc>
          <w:tcPr>
            <w:tcW w:w="500" w:type="dxa"/>
            <w:tcBorders/>
            <w:shd w:fill="FFFFFF" w:val="clear"/>
            <w:vAlign w:val="center"/>
          </w:tcPr>
          <w:p>
            <w:pPr>
              <w:pStyle w:val="TableContents"/>
              <w:bidi w:val="0"/>
              <w:spacing w:before="0" w:after="283"/>
              <w:jc w:val="left"/>
              <w:rPr>
                <w:sz w:val="20"/>
              </w:rPr>
            </w:pPr>
            <w:r>
              <w:rPr>
                <w:sz w:val="20"/>
              </w:rPr>
              <w:t>8.02</w:t>
            </w:r>
          </w:p>
        </w:tc>
        <w:tc>
          <w:tcPr>
            <w:tcW w:w="9040" w:type="dxa"/>
            <w:tcBorders/>
            <w:shd w:fill="FFFFFF" w:val="clear"/>
            <w:vAlign w:val="center"/>
          </w:tcPr>
          <w:p>
            <w:pPr>
              <w:pStyle w:val="TableContents"/>
              <w:bidi w:val="0"/>
              <w:spacing w:before="0" w:after="283"/>
              <w:jc w:val="left"/>
              <w:rPr>
                <w:sz w:val="20"/>
              </w:rPr>
            </w:pPr>
            <w:r>
              <w:rPr>
                <w:sz w:val="20"/>
              </w:rPr>
              <w:t>Remedies upon Event of Default</w:t>
            </w:r>
          </w:p>
        </w:tc>
        <w:tc>
          <w:tcPr>
            <w:tcW w:w="665" w:type="dxa"/>
            <w:tcBorders/>
            <w:shd w:fill="FFFFFF" w:val="clear"/>
            <w:vAlign w:val="center"/>
          </w:tcPr>
          <w:p>
            <w:pPr>
              <w:pStyle w:val="TableContents"/>
              <w:bidi w:val="0"/>
              <w:spacing w:before="0" w:after="283"/>
              <w:jc w:val="right"/>
              <w:rPr>
                <w:sz w:val="20"/>
              </w:rPr>
            </w:pPr>
            <w:r>
              <w:rPr>
                <w:sz w:val="20"/>
              </w:rPr>
              <w:t>127</w:t>
            </w:r>
          </w:p>
        </w:tc>
      </w:tr>
      <w:tr>
        <w:trPr/>
        <w:tc>
          <w:tcPr>
            <w:tcW w:w="500" w:type="dxa"/>
            <w:tcBorders/>
            <w:shd w:fill="C6F4F9" w:val="clear"/>
            <w:vAlign w:val="center"/>
          </w:tcPr>
          <w:p>
            <w:pPr>
              <w:pStyle w:val="TableContents"/>
              <w:bidi w:val="0"/>
              <w:spacing w:before="0" w:after="283"/>
              <w:jc w:val="left"/>
              <w:rPr>
                <w:sz w:val="20"/>
              </w:rPr>
            </w:pPr>
            <w:r>
              <w:rPr>
                <w:sz w:val="20"/>
              </w:rPr>
              <w:t>8.03</w:t>
            </w:r>
          </w:p>
        </w:tc>
        <w:tc>
          <w:tcPr>
            <w:tcW w:w="9040" w:type="dxa"/>
            <w:tcBorders/>
            <w:shd w:fill="C6F4F9" w:val="clear"/>
            <w:vAlign w:val="center"/>
          </w:tcPr>
          <w:p>
            <w:pPr>
              <w:pStyle w:val="TableContents"/>
              <w:bidi w:val="0"/>
              <w:spacing w:before="0" w:after="283"/>
              <w:jc w:val="left"/>
              <w:rPr>
                <w:sz w:val="20"/>
              </w:rPr>
            </w:pPr>
            <w:r>
              <w:rPr>
                <w:sz w:val="20"/>
              </w:rPr>
              <w:t>Application of Funds</w:t>
            </w:r>
          </w:p>
        </w:tc>
        <w:tc>
          <w:tcPr>
            <w:tcW w:w="665" w:type="dxa"/>
            <w:tcBorders/>
            <w:shd w:fill="C6F4F9" w:val="clear"/>
            <w:vAlign w:val="center"/>
          </w:tcPr>
          <w:p>
            <w:pPr>
              <w:pStyle w:val="TableContents"/>
              <w:bidi w:val="0"/>
              <w:spacing w:before="0" w:after="283"/>
              <w:jc w:val="right"/>
              <w:rPr>
                <w:sz w:val="20"/>
              </w:rPr>
            </w:pPr>
            <w:r>
              <w:rPr>
                <w:sz w:val="20"/>
              </w:rPr>
              <w:t>128</w:t>
            </w:r>
          </w:p>
        </w:tc>
      </w:tr>
      <w:tr>
        <w:trPr/>
        <w:tc>
          <w:tcPr>
            <w:tcW w:w="500"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r>
      <w:tr>
        <w:trPr/>
        <w:tc>
          <w:tcPr>
            <w:tcW w:w="9540" w:type="dxa"/>
            <w:gridSpan w:val="2"/>
            <w:tcBorders/>
            <w:shd w:fill="C6F4F9" w:val="clear"/>
            <w:vAlign w:val="center"/>
          </w:tcPr>
          <w:p>
            <w:pPr>
              <w:pStyle w:val="TableContents"/>
              <w:bidi w:val="0"/>
              <w:spacing w:before="0" w:after="283"/>
              <w:jc w:val="left"/>
              <w:rPr/>
            </w:pPr>
            <w:r>
              <w:rPr>
                <w:caps/>
                <w:sz w:val="20"/>
              </w:rPr>
              <w:t>Article IX ADMINISTRATIVE AGENT</w:t>
            </w:r>
            <w:r>
              <w:rPr/>
              <w:t xml:space="preserve"> </w:t>
            </w:r>
          </w:p>
        </w:tc>
        <w:tc>
          <w:tcPr>
            <w:tcW w:w="665" w:type="dxa"/>
            <w:tcBorders/>
            <w:shd w:fill="C6F4F9" w:val="clear"/>
            <w:vAlign w:val="center"/>
          </w:tcPr>
          <w:p>
            <w:pPr>
              <w:pStyle w:val="TableContents"/>
              <w:bidi w:val="0"/>
              <w:spacing w:before="0" w:after="283"/>
              <w:jc w:val="right"/>
              <w:rPr>
                <w:caps/>
                <w:sz w:val="20"/>
              </w:rPr>
            </w:pPr>
            <w:r>
              <w:rPr>
                <w:caps/>
                <w:sz w:val="20"/>
              </w:rPr>
              <w:t>129</w:t>
            </w:r>
          </w:p>
        </w:tc>
      </w:tr>
      <w:tr>
        <w:trPr/>
        <w:tc>
          <w:tcPr>
            <w:tcW w:w="9540" w:type="dxa"/>
            <w:gridSpan w:val="2"/>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r>
      <w:tr>
        <w:trPr/>
        <w:tc>
          <w:tcPr>
            <w:tcW w:w="500" w:type="dxa"/>
            <w:tcBorders/>
            <w:shd w:fill="C6F4F9" w:val="clear"/>
            <w:vAlign w:val="center"/>
          </w:tcPr>
          <w:p>
            <w:pPr>
              <w:pStyle w:val="TableContents"/>
              <w:bidi w:val="0"/>
              <w:spacing w:before="0" w:after="283"/>
              <w:jc w:val="left"/>
              <w:rPr>
                <w:sz w:val="20"/>
              </w:rPr>
            </w:pPr>
            <w:r>
              <w:rPr>
                <w:sz w:val="20"/>
              </w:rPr>
              <w:t>9.01</w:t>
            </w:r>
          </w:p>
        </w:tc>
        <w:tc>
          <w:tcPr>
            <w:tcW w:w="9040" w:type="dxa"/>
            <w:tcBorders/>
            <w:shd w:fill="C6F4F9" w:val="clear"/>
            <w:vAlign w:val="center"/>
          </w:tcPr>
          <w:p>
            <w:pPr>
              <w:pStyle w:val="TableContents"/>
              <w:bidi w:val="0"/>
              <w:spacing w:before="0" w:after="283"/>
              <w:jc w:val="left"/>
              <w:rPr>
                <w:sz w:val="20"/>
              </w:rPr>
            </w:pPr>
            <w:r>
              <w:rPr>
                <w:sz w:val="20"/>
              </w:rPr>
              <w:t>Appointment and Authority</w:t>
            </w:r>
          </w:p>
        </w:tc>
        <w:tc>
          <w:tcPr>
            <w:tcW w:w="665" w:type="dxa"/>
            <w:tcBorders/>
            <w:shd w:fill="C6F4F9" w:val="clear"/>
            <w:vAlign w:val="center"/>
          </w:tcPr>
          <w:p>
            <w:pPr>
              <w:pStyle w:val="TableContents"/>
              <w:bidi w:val="0"/>
              <w:spacing w:before="0" w:after="283"/>
              <w:jc w:val="right"/>
              <w:rPr>
                <w:sz w:val="20"/>
              </w:rPr>
            </w:pPr>
            <w:r>
              <w:rPr>
                <w:sz w:val="20"/>
              </w:rPr>
              <w:t>129</w:t>
            </w:r>
          </w:p>
        </w:tc>
      </w:tr>
      <w:tr>
        <w:trPr/>
        <w:tc>
          <w:tcPr>
            <w:tcW w:w="500" w:type="dxa"/>
            <w:tcBorders/>
            <w:shd w:fill="FFFFFF" w:val="clear"/>
            <w:vAlign w:val="center"/>
          </w:tcPr>
          <w:p>
            <w:pPr>
              <w:pStyle w:val="TableContents"/>
              <w:bidi w:val="0"/>
              <w:spacing w:before="0" w:after="283"/>
              <w:jc w:val="left"/>
              <w:rPr>
                <w:sz w:val="20"/>
              </w:rPr>
            </w:pPr>
            <w:r>
              <w:rPr>
                <w:sz w:val="20"/>
              </w:rPr>
              <w:t>9.02</w:t>
            </w:r>
          </w:p>
        </w:tc>
        <w:tc>
          <w:tcPr>
            <w:tcW w:w="9040" w:type="dxa"/>
            <w:tcBorders/>
            <w:shd w:fill="FFFFFF" w:val="clear"/>
            <w:vAlign w:val="center"/>
          </w:tcPr>
          <w:p>
            <w:pPr>
              <w:pStyle w:val="TableContents"/>
              <w:bidi w:val="0"/>
              <w:spacing w:before="0" w:after="283"/>
              <w:jc w:val="left"/>
              <w:rPr>
                <w:sz w:val="20"/>
              </w:rPr>
            </w:pPr>
            <w:r>
              <w:rPr>
                <w:sz w:val="20"/>
              </w:rPr>
              <w:t>Rights as a Lender</w:t>
            </w:r>
          </w:p>
        </w:tc>
        <w:tc>
          <w:tcPr>
            <w:tcW w:w="665" w:type="dxa"/>
            <w:tcBorders/>
            <w:shd w:fill="FFFFFF" w:val="clear"/>
            <w:vAlign w:val="center"/>
          </w:tcPr>
          <w:p>
            <w:pPr>
              <w:pStyle w:val="TableContents"/>
              <w:bidi w:val="0"/>
              <w:spacing w:before="0" w:after="283"/>
              <w:jc w:val="right"/>
              <w:rPr>
                <w:sz w:val="20"/>
              </w:rPr>
            </w:pPr>
            <w:r>
              <w:rPr>
                <w:sz w:val="20"/>
              </w:rPr>
              <w:t>130</w:t>
            </w:r>
          </w:p>
        </w:tc>
      </w:tr>
      <w:tr>
        <w:trPr/>
        <w:tc>
          <w:tcPr>
            <w:tcW w:w="500" w:type="dxa"/>
            <w:tcBorders/>
            <w:shd w:fill="C6F4F9" w:val="clear"/>
            <w:vAlign w:val="center"/>
          </w:tcPr>
          <w:p>
            <w:pPr>
              <w:pStyle w:val="TableContents"/>
              <w:bidi w:val="0"/>
              <w:spacing w:before="0" w:after="283"/>
              <w:jc w:val="left"/>
              <w:rPr>
                <w:sz w:val="20"/>
              </w:rPr>
            </w:pPr>
            <w:r>
              <w:rPr>
                <w:sz w:val="20"/>
              </w:rPr>
              <w:t>9.03</w:t>
            </w:r>
          </w:p>
        </w:tc>
        <w:tc>
          <w:tcPr>
            <w:tcW w:w="9040" w:type="dxa"/>
            <w:tcBorders/>
            <w:shd w:fill="C6F4F9" w:val="clear"/>
            <w:vAlign w:val="center"/>
          </w:tcPr>
          <w:p>
            <w:pPr>
              <w:pStyle w:val="TableContents"/>
              <w:bidi w:val="0"/>
              <w:spacing w:before="0" w:after="283"/>
              <w:jc w:val="left"/>
              <w:rPr>
                <w:sz w:val="20"/>
              </w:rPr>
            </w:pPr>
            <w:r>
              <w:rPr>
                <w:sz w:val="20"/>
              </w:rPr>
              <w:t>Exculpatory Provisions</w:t>
            </w:r>
          </w:p>
        </w:tc>
        <w:tc>
          <w:tcPr>
            <w:tcW w:w="665" w:type="dxa"/>
            <w:tcBorders/>
            <w:shd w:fill="C6F4F9" w:val="clear"/>
            <w:vAlign w:val="center"/>
          </w:tcPr>
          <w:p>
            <w:pPr>
              <w:pStyle w:val="TableContents"/>
              <w:bidi w:val="0"/>
              <w:spacing w:before="0" w:after="283"/>
              <w:jc w:val="right"/>
              <w:rPr>
                <w:sz w:val="20"/>
              </w:rPr>
            </w:pPr>
            <w:r>
              <w:rPr>
                <w:sz w:val="20"/>
              </w:rPr>
              <w:t>130</w:t>
            </w:r>
          </w:p>
        </w:tc>
      </w:tr>
      <w:tr>
        <w:trPr/>
        <w:tc>
          <w:tcPr>
            <w:tcW w:w="500" w:type="dxa"/>
            <w:tcBorders/>
            <w:shd w:fill="FFFFFF" w:val="clear"/>
            <w:vAlign w:val="center"/>
          </w:tcPr>
          <w:p>
            <w:pPr>
              <w:pStyle w:val="TableContents"/>
              <w:bidi w:val="0"/>
              <w:spacing w:before="0" w:after="283"/>
              <w:jc w:val="left"/>
              <w:rPr>
                <w:sz w:val="20"/>
              </w:rPr>
            </w:pPr>
            <w:r>
              <w:rPr>
                <w:sz w:val="20"/>
              </w:rPr>
              <w:t>9.04</w:t>
            </w:r>
          </w:p>
        </w:tc>
        <w:tc>
          <w:tcPr>
            <w:tcW w:w="9040" w:type="dxa"/>
            <w:tcBorders/>
            <w:shd w:fill="FFFFFF" w:val="clear"/>
            <w:vAlign w:val="center"/>
          </w:tcPr>
          <w:p>
            <w:pPr>
              <w:pStyle w:val="TableContents"/>
              <w:bidi w:val="0"/>
              <w:spacing w:before="0" w:after="283"/>
              <w:jc w:val="left"/>
              <w:rPr>
                <w:sz w:val="20"/>
              </w:rPr>
            </w:pPr>
            <w:r>
              <w:rPr>
                <w:sz w:val="20"/>
              </w:rPr>
              <w:t>Reliance by Administrative Agent</w:t>
            </w:r>
          </w:p>
        </w:tc>
        <w:tc>
          <w:tcPr>
            <w:tcW w:w="665" w:type="dxa"/>
            <w:tcBorders/>
            <w:shd w:fill="FFFFFF" w:val="clear"/>
            <w:vAlign w:val="center"/>
          </w:tcPr>
          <w:p>
            <w:pPr>
              <w:pStyle w:val="TableContents"/>
              <w:bidi w:val="0"/>
              <w:spacing w:before="0" w:after="283"/>
              <w:jc w:val="right"/>
              <w:rPr>
                <w:sz w:val="20"/>
              </w:rPr>
            </w:pPr>
            <w:r>
              <w:rPr>
                <w:sz w:val="20"/>
              </w:rPr>
              <w:t>131</w:t>
            </w:r>
          </w:p>
        </w:tc>
      </w:tr>
      <w:tr>
        <w:trPr/>
        <w:tc>
          <w:tcPr>
            <w:tcW w:w="500" w:type="dxa"/>
            <w:tcBorders/>
            <w:shd w:fill="C6F4F9" w:val="clear"/>
            <w:vAlign w:val="center"/>
          </w:tcPr>
          <w:p>
            <w:pPr>
              <w:pStyle w:val="TableContents"/>
              <w:bidi w:val="0"/>
              <w:spacing w:before="0" w:after="283"/>
              <w:jc w:val="left"/>
              <w:rPr>
                <w:sz w:val="20"/>
              </w:rPr>
            </w:pPr>
            <w:r>
              <w:rPr>
                <w:sz w:val="20"/>
              </w:rPr>
              <w:t>9.05</w:t>
            </w:r>
          </w:p>
        </w:tc>
        <w:tc>
          <w:tcPr>
            <w:tcW w:w="9040" w:type="dxa"/>
            <w:tcBorders/>
            <w:shd w:fill="C6F4F9" w:val="clear"/>
            <w:vAlign w:val="center"/>
          </w:tcPr>
          <w:p>
            <w:pPr>
              <w:pStyle w:val="TableContents"/>
              <w:bidi w:val="0"/>
              <w:spacing w:before="0" w:after="283"/>
              <w:jc w:val="left"/>
              <w:rPr>
                <w:sz w:val="20"/>
              </w:rPr>
            </w:pPr>
            <w:r>
              <w:rPr>
                <w:sz w:val="20"/>
              </w:rPr>
              <w:t>Delegation of Duties</w:t>
            </w:r>
          </w:p>
        </w:tc>
        <w:tc>
          <w:tcPr>
            <w:tcW w:w="665" w:type="dxa"/>
            <w:tcBorders/>
            <w:shd w:fill="C6F4F9" w:val="clear"/>
            <w:vAlign w:val="center"/>
          </w:tcPr>
          <w:p>
            <w:pPr>
              <w:pStyle w:val="TableContents"/>
              <w:bidi w:val="0"/>
              <w:spacing w:before="0" w:after="283"/>
              <w:jc w:val="right"/>
              <w:rPr/>
            </w:pPr>
            <w:r>
              <w:rPr>
                <w:strike/>
                <w:color w:val="FF0000"/>
                <w:sz w:val="20"/>
              </w:rPr>
              <w:t>131</w:t>
            </w:r>
            <w:r>
              <w:rPr>
                <w:color w:val="0000FF"/>
                <w:sz w:val="20"/>
                <w:u w:val="single"/>
              </w:rPr>
              <w:t>132</w:t>
            </w:r>
          </w:p>
        </w:tc>
      </w:tr>
      <w:tr>
        <w:trPr/>
        <w:tc>
          <w:tcPr>
            <w:tcW w:w="500" w:type="dxa"/>
            <w:tcBorders/>
            <w:shd w:fill="FFFFFF" w:val="clear"/>
            <w:vAlign w:val="center"/>
          </w:tcPr>
          <w:p>
            <w:pPr>
              <w:pStyle w:val="TableContents"/>
              <w:bidi w:val="0"/>
              <w:spacing w:before="0" w:after="283"/>
              <w:jc w:val="left"/>
              <w:rPr>
                <w:sz w:val="20"/>
              </w:rPr>
            </w:pPr>
            <w:r>
              <w:rPr>
                <w:sz w:val="20"/>
              </w:rPr>
              <w:t>9.06</w:t>
            </w:r>
          </w:p>
        </w:tc>
        <w:tc>
          <w:tcPr>
            <w:tcW w:w="9040" w:type="dxa"/>
            <w:tcBorders/>
            <w:shd w:fill="FFFFFF" w:val="clear"/>
            <w:vAlign w:val="center"/>
          </w:tcPr>
          <w:p>
            <w:pPr>
              <w:pStyle w:val="TableContents"/>
              <w:bidi w:val="0"/>
              <w:spacing w:before="0" w:after="283"/>
              <w:jc w:val="left"/>
              <w:rPr>
                <w:sz w:val="20"/>
              </w:rPr>
            </w:pPr>
            <w:r>
              <w:rPr>
                <w:sz w:val="20"/>
              </w:rPr>
              <w:t>Resignation of Administrative Agent</w:t>
            </w:r>
          </w:p>
        </w:tc>
        <w:tc>
          <w:tcPr>
            <w:tcW w:w="665" w:type="dxa"/>
            <w:tcBorders/>
            <w:shd w:fill="FFFFFF" w:val="clear"/>
            <w:vAlign w:val="center"/>
          </w:tcPr>
          <w:p>
            <w:pPr>
              <w:pStyle w:val="TableContents"/>
              <w:bidi w:val="0"/>
              <w:spacing w:before="0" w:after="283"/>
              <w:jc w:val="right"/>
              <w:rPr>
                <w:sz w:val="20"/>
              </w:rPr>
            </w:pPr>
            <w:r>
              <w:rPr>
                <w:sz w:val="20"/>
              </w:rPr>
              <w:t>132</w:t>
            </w:r>
          </w:p>
        </w:tc>
      </w:tr>
      <w:tr>
        <w:trPr/>
        <w:tc>
          <w:tcPr>
            <w:tcW w:w="500" w:type="dxa"/>
            <w:tcBorders/>
            <w:shd w:fill="C6F4F9" w:val="clear"/>
            <w:vAlign w:val="center"/>
          </w:tcPr>
          <w:p>
            <w:pPr>
              <w:pStyle w:val="TableContents"/>
              <w:bidi w:val="0"/>
              <w:spacing w:before="0" w:after="283"/>
              <w:jc w:val="left"/>
              <w:rPr>
                <w:sz w:val="20"/>
              </w:rPr>
            </w:pPr>
            <w:r>
              <w:rPr>
                <w:sz w:val="20"/>
              </w:rPr>
              <w:t>9.07</w:t>
            </w:r>
          </w:p>
        </w:tc>
        <w:tc>
          <w:tcPr>
            <w:tcW w:w="9040" w:type="dxa"/>
            <w:tcBorders/>
            <w:shd w:fill="C6F4F9" w:val="clear"/>
            <w:vAlign w:val="center"/>
          </w:tcPr>
          <w:p>
            <w:pPr>
              <w:pStyle w:val="TableContents"/>
              <w:bidi w:val="0"/>
              <w:spacing w:before="0" w:after="283"/>
              <w:jc w:val="left"/>
              <w:rPr>
                <w:sz w:val="20"/>
              </w:rPr>
            </w:pPr>
            <w:r>
              <w:rPr>
                <w:sz w:val="20"/>
              </w:rPr>
              <w:t>Non-Reliance on Administrative Agent and Other Lenders</w:t>
            </w:r>
          </w:p>
        </w:tc>
        <w:tc>
          <w:tcPr>
            <w:tcW w:w="665" w:type="dxa"/>
            <w:tcBorders/>
            <w:shd w:fill="C6F4F9" w:val="clear"/>
            <w:vAlign w:val="center"/>
          </w:tcPr>
          <w:p>
            <w:pPr>
              <w:pStyle w:val="TableContents"/>
              <w:bidi w:val="0"/>
              <w:spacing w:before="0" w:after="283"/>
              <w:jc w:val="right"/>
              <w:rPr>
                <w:sz w:val="20"/>
              </w:rPr>
            </w:pPr>
            <w:r>
              <w:rPr>
                <w:sz w:val="20"/>
              </w:rPr>
              <w:t>133</w:t>
            </w:r>
          </w:p>
        </w:tc>
      </w:tr>
      <w:tr>
        <w:trPr/>
        <w:tc>
          <w:tcPr>
            <w:tcW w:w="500" w:type="dxa"/>
            <w:tcBorders/>
            <w:shd w:fill="FFFFFF" w:val="clear"/>
            <w:vAlign w:val="center"/>
          </w:tcPr>
          <w:p>
            <w:pPr>
              <w:pStyle w:val="TableContents"/>
              <w:bidi w:val="0"/>
              <w:spacing w:before="0" w:after="283"/>
              <w:jc w:val="left"/>
              <w:rPr>
                <w:sz w:val="20"/>
              </w:rPr>
            </w:pPr>
            <w:r>
              <w:rPr>
                <w:sz w:val="20"/>
              </w:rPr>
              <w:t>9.08</w:t>
            </w:r>
          </w:p>
        </w:tc>
        <w:tc>
          <w:tcPr>
            <w:tcW w:w="9040" w:type="dxa"/>
            <w:tcBorders/>
            <w:shd w:fill="FFFFFF" w:val="clear"/>
            <w:vAlign w:val="center"/>
          </w:tcPr>
          <w:p>
            <w:pPr>
              <w:pStyle w:val="TableContents"/>
              <w:bidi w:val="0"/>
              <w:spacing w:before="0" w:after="283"/>
              <w:jc w:val="left"/>
              <w:rPr>
                <w:sz w:val="20"/>
              </w:rPr>
            </w:pPr>
            <w:r>
              <w:rPr>
                <w:sz w:val="20"/>
              </w:rPr>
              <w:t>No Other Duties, Etc</w:t>
            </w:r>
          </w:p>
        </w:tc>
        <w:tc>
          <w:tcPr>
            <w:tcW w:w="665" w:type="dxa"/>
            <w:tcBorders/>
            <w:shd w:fill="FFFFFF" w:val="clear"/>
            <w:vAlign w:val="center"/>
          </w:tcPr>
          <w:p>
            <w:pPr>
              <w:pStyle w:val="TableContents"/>
              <w:bidi w:val="0"/>
              <w:spacing w:before="0" w:after="283"/>
              <w:jc w:val="right"/>
              <w:rPr>
                <w:sz w:val="20"/>
              </w:rPr>
            </w:pPr>
            <w:r>
              <w:rPr>
                <w:sz w:val="20"/>
              </w:rPr>
              <w:t>134</w:t>
            </w:r>
          </w:p>
        </w:tc>
      </w:tr>
      <w:tr>
        <w:trPr/>
        <w:tc>
          <w:tcPr>
            <w:tcW w:w="500" w:type="dxa"/>
            <w:tcBorders/>
            <w:shd w:fill="C6F4F9" w:val="clear"/>
            <w:vAlign w:val="center"/>
          </w:tcPr>
          <w:p>
            <w:pPr>
              <w:pStyle w:val="TableContents"/>
              <w:bidi w:val="0"/>
              <w:spacing w:before="0" w:after="283"/>
              <w:jc w:val="left"/>
              <w:rPr>
                <w:sz w:val="20"/>
              </w:rPr>
            </w:pPr>
            <w:r>
              <w:rPr>
                <w:sz w:val="20"/>
              </w:rPr>
              <w:t>9.09</w:t>
            </w:r>
          </w:p>
        </w:tc>
        <w:tc>
          <w:tcPr>
            <w:tcW w:w="9040" w:type="dxa"/>
            <w:tcBorders/>
            <w:shd w:fill="C6F4F9" w:val="clear"/>
            <w:vAlign w:val="center"/>
          </w:tcPr>
          <w:p>
            <w:pPr>
              <w:pStyle w:val="TableContents"/>
              <w:bidi w:val="0"/>
              <w:spacing w:before="0" w:after="283"/>
              <w:jc w:val="left"/>
              <w:rPr>
                <w:sz w:val="20"/>
              </w:rPr>
            </w:pPr>
            <w:r>
              <w:rPr>
                <w:sz w:val="20"/>
              </w:rPr>
              <w:t>Administrative Agent May File Proofs of Claim; Credit Bidding</w:t>
            </w:r>
          </w:p>
        </w:tc>
        <w:tc>
          <w:tcPr>
            <w:tcW w:w="665" w:type="dxa"/>
            <w:tcBorders/>
            <w:shd w:fill="C6F4F9" w:val="clear"/>
            <w:vAlign w:val="center"/>
          </w:tcPr>
          <w:p>
            <w:pPr>
              <w:pStyle w:val="TableContents"/>
              <w:bidi w:val="0"/>
              <w:spacing w:before="0" w:after="283"/>
              <w:jc w:val="right"/>
              <w:rPr>
                <w:sz w:val="20"/>
              </w:rPr>
            </w:pPr>
            <w:r>
              <w:rPr>
                <w:sz w:val="20"/>
              </w:rPr>
              <w:t>134</w:t>
            </w:r>
          </w:p>
        </w:tc>
      </w:tr>
      <w:tr>
        <w:trPr/>
        <w:tc>
          <w:tcPr>
            <w:tcW w:w="500" w:type="dxa"/>
            <w:tcBorders/>
            <w:shd w:fill="FFFFFF" w:val="clear"/>
            <w:vAlign w:val="center"/>
          </w:tcPr>
          <w:p>
            <w:pPr>
              <w:pStyle w:val="TableContents"/>
              <w:bidi w:val="0"/>
              <w:spacing w:before="0" w:after="283"/>
              <w:jc w:val="left"/>
              <w:rPr>
                <w:sz w:val="20"/>
              </w:rPr>
            </w:pPr>
            <w:r>
              <w:rPr>
                <w:sz w:val="20"/>
              </w:rPr>
              <w:t>9.10</w:t>
            </w:r>
          </w:p>
        </w:tc>
        <w:tc>
          <w:tcPr>
            <w:tcW w:w="9040" w:type="dxa"/>
            <w:tcBorders/>
            <w:shd w:fill="FFFFFF" w:val="clear"/>
            <w:vAlign w:val="center"/>
          </w:tcPr>
          <w:p>
            <w:pPr>
              <w:pStyle w:val="TableContents"/>
              <w:bidi w:val="0"/>
              <w:spacing w:before="0" w:after="283"/>
              <w:jc w:val="left"/>
              <w:rPr>
                <w:sz w:val="20"/>
              </w:rPr>
            </w:pPr>
            <w:r>
              <w:rPr>
                <w:sz w:val="20"/>
              </w:rPr>
              <w:t>Collateral and Guaranty Matters</w:t>
            </w:r>
          </w:p>
        </w:tc>
        <w:tc>
          <w:tcPr>
            <w:tcW w:w="665" w:type="dxa"/>
            <w:tcBorders/>
            <w:shd w:fill="FFFFFF" w:val="clear"/>
            <w:vAlign w:val="center"/>
          </w:tcPr>
          <w:p>
            <w:pPr>
              <w:pStyle w:val="TableContents"/>
              <w:bidi w:val="0"/>
              <w:spacing w:before="0" w:after="283"/>
              <w:jc w:val="right"/>
              <w:rPr/>
            </w:pPr>
            <w:r>
              <w:rPr>
                <w:strike/>
                <w:color w:val="FF0000"/>
                <w:sz w:val="20"/>
              </w:rPr>
              <w:t>135</w:t>
            </w:r>
            <w:r>
              <w:rPr>
                <w:color w:val="0000FF"/>
                <w:sz w:val="20"/>
                <w:u w:val="single"/>
              </w:rPr>
              <w:t>136</w:t>
            </w:r>
          </w:p>
        </w:tc>
      </w:tr>
      <w:tr>
        <w:trPr/>
        <w:tc>
          <w:tcPr>
            <w:tcW w:w="500" w:type="dxa"/>
            <w:tcBorders/>
            <w:shd w:fill="C6F4F9" w:val="clear"/>
            <w:vAlign w:val="center"/>
          </w:tcPr>
          <w:p>
            <w:pPr>
              <w:pStyle w:val="TableContents"/>
              <w:bidi w:val="0"/>
              <w:spacing w:before="0" w:after="283"/>
              <w:jc w:val="left"/>
              <w:rPr>
                <w:sz w:val="20"/>
              </w:rPr>
            </w:pPr>
            <w:r>
              <w:rPr>
                <w:sz w:val="20"/>
              </w:rPr>
              <w:t>9.11</w:t>
            </w:r>
          </w:p>
        </w:tc>
        <w:tc>
          <w:tcPr>
            <w:tcW w:w="9040" w:type="dxa"/>
            <w:tcBorders/>
            <w:shd w:fill="C6F4F9" w:val="clear"/>
            <w:vAlign w:val="center"/>
          </w:tcPr>
          <w:p>
            <w:pPr>
              <w:pStyle w:val="TableContents"/>
              <w:bidi w:val="0"/>
              <w:spacing w:before="0" w:after="283"/>
              <w:jc w:val="left"/>
              <w:rPr>
                <w:sz w:val="20"/>
              </w:rPr>
            </w:pPr>
            <w:r>
              <w:rPr>
                <w:sz w:val="20"/>
              </w:rPr>
              <w:t>Secured Cash Management Agreements and Secured Hedge Agreements</w:t>
            </w:r>
          </w:p>
        </w:tc>
        <w:tc>
          <w:tcPr>
            <w:tcW w:w="665" w:type="dxa"/>
            <w:tcBorders/>
            <w:shd w:fill="C6F4F9" w:val="clear"/>
            <w:vAlign w:val="center"/>
          </w:tcPr>
          <w:p>
            <w:pPr>
              <w:pStyle w:val="TableContents"/>
              <w:bidi w:val="0"/>
              <w:spacing w:before="0" w:after="283"/>
              <w:jc w:val="right"/>
              <w:rPr>
                <w:sz w:val="20"/>
              </w:rPr>
            </w:pPr>
            <w:r>
              <w:rPr>
                <w:sz w:val="20"/>
              </w:rPr>
              <w:t>136</w:t>
            </w:r>
          </w:p>
        </w:tc>
      </w:tr>
      <w:tr>
        <w:trPr/>
        <w:tc>
          <w:tcPr>
            <w:tcW w:w="500" w:type="dxa"/>
            <w:tcBorders/>
            <w:shd w:fill="FFFFFF" w:val="clear"/>
            <w:vAlign w:val="center"/>
          </w:tcPr>
          <w:p>
            <w:pPr>
              <w:pStyle w:val="TableContents"/>
              <w:bidi w:val="0"/>
              <w:spacing w:before="0" w:after="283"/>
              <w:jc w:val="left"/>
              <w:rPr>
                <w:sz w:val="20"/>
              </w:rPr>
            </w:pPr>
            <w:r>
              <w:rPr>
                <w:sz w:val="20"/>
              </w:rPr>
              <w:t>9.12</w:t>
            </w:r>
          </w:p>
        </w:tc>
        <w:tc>
          <w:tcPr>
            <w:tcW w:w="9040" w:type="dxa"/>
            <w:tcBorders/>
            <w:shd w:fill="FFFFFF" w:val="clear"/>
            <w:vAlign w:val="center"/>
          </w:tcPr>
          <w:p>
            <w:pPr>
              <w:pStyle w:val="TableContents"/>
              <w:bidi w:val="0"/>
              <w:spacing w:before="0" w:after="283"/>
              <w:jc w:val="left"/>
              <w:rPr>
                <w:sz w:val="20"/>
              </w:rPr>
            </w:pPr>
            <w:r>
              <w:rPr>
                <w:sz w:val="20"/>
              </w:rPr>
              <w:t>ERISA Lender Representation</w:t>
            </w:r>
          </w:p>
        </w:tc>
        <w:tc>
          <w:tcPr>
            <w:tcW w:w="665" w:type="dxa"/>
            <w:tcBorders/>
            <w:shd w:fill="FFFFFF" w:val="clear"/>
            <w:vAlign w:val="center"/>
          </w:tcPr>
          <w:p>
            <w:pPr>
              <w:pStyle w:val="TableContents"/>
              <w:bidi w:val="0"/>
              <w:spacing w:before="0" w:after="283"/>
              <w:jc w:val="right"/>
              <w:rPr>
                <w:sz w:val="20"/>
              </w:rPr>
            </w:pPr>
            <w:r>
              <w:rPr>
                <w:sz w:val="20"/>
              </w:rPr>
              <w:t>137</w:t>
            </w:r>
          </w:p>
        </w:tc>
      </w:tr>
      <w:tr>
        <w:trPr/>
        <w:tc>
          <w:tcPr>
            <w:tcW w:w="500" w:type="dxa"/>
            <w:tcBorders/>
            <w:shd w:fill="C6F4F9" w:val="clear"/>
            <w:vAlign w:val="center"/>
          </w:tcPr>
          <w:p>
            <w:pPr>
              <w:pStyle w:val="TableContents"/>
              <w:bidi w:val="0"/>
              <w:spacing w:before="0" w:after="283"/>
              <w:jc w:val="left"/>
              <w:rPr>
                <w:sz w:val="20"/>
              </w:rPr>
            </w:pPr>
            <w:r>
              <w:rPr>
                <w:sz w:val="20"/>
              </w:rPr>
              <w:t>9.13</w:t>
            </w:r>
          </w:p>
        </w:tc>
        <w:tc>
          <w:tcPr>
            <w:tcW w:w="9040" w:type="dxa"/>
            <w:tcBorders/>
            <w:shd w:fill="C6F4F9" w:val="clear"/>
            <w:vAlign w:val="center"/>
          </w:tcPr>
          <w:p>
            <w:pPr>
              <w:pStyle w:val="TableContents"/>
              <w:bidi w:val="0"/>
              <w:spacing w:before="0" w:after="283"/>
              <w:jc w:val="left"/>
              <w:rPr>
                <w:sz w:val="20"/>
              </w:rPr>
            </w:pPr>
            <w:r>
              <w:rPr>
                <w:sz w:val="20"/>
              </w:rPr>
              <w:t>Parallel Obligations</w:t>
            </w:r>
          </w:p>
        </w:tc>
        <w:tc>
          <w:tcPr>
            <w:tcW w:w="665" w:type="dxa"/>
            <w:tcBorders/>
            <w:shd w:fill="C6F4F9" w:val="clear"/>
            <w:vAlign w:val="center"/>
          </w:tcPr>
          <w:p>
            <w:pPr>
              <w:pStyle w:val="TableContents"/>
              <w:bidi w:val="0"/>
              <w:spacing w:before="0" w:after="283"/>
              <w:jc w:val="right"/>
              <w:rPr>
                <w:sz w:val="20"/>
              </w:rPr>
            </w:pPr>
            <w:r>
              <w:rPr>
                <w:sz w:val="20"/>
              </w:rPr>
              <w:t>138</w:t>
            </w:r>
          </w:p>
        </w:tc>
      </w:tr>
      <w:tr>
        <w:trPr/>
        <w:tc>
          <w:tcPr>
            <w:tcW w:w="500" w:type="dxa"/>
            <w:tcBorders/>
            <w:shd w:fill="FFFFFF" w:val="clear"/>
            <w:vAlign w:val="center"/>
          </w:tcPr>
          <w:p>
            <w:pPr>
              <w:pStyle w:val="TableContents"/>
              <w:bidi w:val="0"/>
              <w:spacing w:before="0" w:after="283"/>
              <w:jc w:val="left"/>
              <w:rPr>
                <w:sz w:val="20"/>
              </w:rPr>
            </w:pPr>
            <w:r>
              <w:rPr>
                <w:sz w:val="20"/>
              </w:rPr>
              <w:t>9.14</w:t>
            </w:r>
          </w:p>
        </w:tc>
        <w:tc>
          <w:tcPr>
            <w:tcW w:w="9040" w:type="dxa"/>
            <w:tcBorders/>
            <w:shd w:fill="FFFFFF" w:val="clear"/>
            <w:vAlign w:val="center"/>
          </w:tcPr>
          <w:p>
            <w:pPr>
              <w:pStyle w:val="TableContents"/>
              <w:bidi w:val="0"/>
              <w:spacing w:before="0" w:after="283"/>
              <w:jc w:val="left"/>
              <w:rPr>
                <w:sz w:val="20"/>
              </w:rPr>
            </w:pPr>
            <w:r>
              <w:rPr>
                <w:sz w:val="20"/>
              </w:rPr>
              <w:t>Recovery of Erroneous Payments</w:t>
            </w:r>
          </w:p>
        </w:tc>
        <w:tc>
          <w:tcPr>
            <w:tcW w:w="665" w:type="dxa"/>
            <w:tcBorders/>
            <w:shd w:fill="FFFFFF" w:val="clear"/>
            <w:vAlign w:val="center"/>
          </w:tcPr>
          <w:p>
            <w:pPr>
              <w:pStyle w:val="TableContents"/>
              <w:bidi w:val="0"/>
              <w:spacing w:before="0" w:after="283"/>
              <w:jc w:val="right"/>
              <w:rPr/>
            </w:pPr>
            <w:r>
              <w:rPr>
                <w:strike/>
                <w:color w:val="FF0000"/>
                <w:sz w:val="20"/>
              </w:rPr>
              <w:t>139</w:t>
            </w:r>
            <w:r>
              <w:rPr>
                <w:color w:val="0000FF"/>
                <w:sz w:val="20"/>
                <w:u w:val="single"/>
              </w:rPr>
              <w:t>138</w:t>
            </w:r>
          </w:p>
        </w:tc>
      </w:tr>
      <w:tr>
        <w:trPr/>
        <w:tc>
          <w:tcPr>
            <w:tcW w:w="500" w:type="dxa"/>
            <w:tcBorders/>
            <w:shd w:fill="C6F4F9" w:val="clear"/>
            <w:vAlign w:val="center"/>
          </w:tcPr>
          <w:p>
            <w:pPr>
              <w:pStyle w:val="TableContents"/>
              <w:bidi w:val="0"/>
              <w:spacing w:before="0" w:after="283"/>
              <w:jc w:val="left"/>
              <w:rPr/>
            </w:pPr>
            <w:r>
              <w:rPr/>
              <w:t> </w:t>
            </w:r>
          </w:p>
        </w:tc>
        <w:tc>
          <w:tcPr>
            <w:tcW w:w="9040" w:type="dxa"/>
            <w:tcBorders/>
            <w:shd w:fill="C6F4F9" w:val="clear"/>
            <w:vAlign w:val="center"/>
          </w:tcPr>
          <w:p>
            <w:pPr>
              <w:pStyle w:val="TableContents"/>
              <w:bidi w:val="0"/>
              <w:spacing w:before="0" w:after="283"/>
              <w:jc w:val="left"/>
              <w:rPr/>
            </w:pPr>
            <w:r>
              <w:rPr/>
              <w:t> </w:t>
            </w:r>
          </w:p>
        </w:tc>
        <w:tc>
          <w:tcPr>
            <w:tcW w:w="665" w:type="dxa"/>
            <w:tcBorders/>
            <w:shd w:fill="C6F4F9" w:val="clear"/>
            <w:vAlign w:val="center"/>
          </w:tcPr>
          <w:p>
            <w:pPr>
              <w:pStyle w:val="TableContents"/>
              <w:bidi w:val="0"/>
              <w:spacing w:before="0" w:after="283"/>
              <w:jc w:val="right"/>
              <w:rPr/>
            </w:pPr>
            <w:r>
              <w:rPr/>
              <w:t> </w:t>
            </w:r>
          </w:p>
        </w:tc>
      </w:tr>
      <w:tr>
        <w:trPr/>
        <w:tc>
          <w:tcPr>
            <w:tcW w:w="9540" w:type="dxa"/>
            <w:gridSpan w:val="2"/>
            <w:tcBorders/>
            <w:shd w:fill="FFFFFF" w:val="clear"/>
            <w:vAlign w:val="center"/>
          </w:tcPr>
          <w:p>
            <w:pPr>
              <w:pStyle w:val="TableContents"/>
              <w:bidi w:val="0"/>
              <w:spacing w:before="0" w:after="283"/>
              <w:jc w:val="left"/>
              <w:rPr/>
            </w:pPr>
            <w:r>
              <w:rPr>
                <w:caps/>
                <w:sz w:val="20"/>
              </w:rPr>
              <w:t>Article X CONTINUING GUARANTY</w:t>
            </w:r>
            <w:r>
              <w:rPr/>
              <w:t xml:space="preserve"> </w:t>
            </w:r>
          </w:p>
        </w:tc>
        <w:tc>
          <w:tcPr>
            <w:tcW w:w="665" w:type="dxa"/>
            <w:tcBorders/>
            <w:shd w:fill="FFFFFF" w:val="clear"/>
            <w:vAlign w:val="center"/>
          </w:tcPr>
          <w:p>
            <w:pPr>
              <w:pStyle w:val="TableContents"/>
              <w:bidi w:val="0"/>
              <w:spacing w:before="0" w:after="283"/>
              <w:jc w:val="right"/>
              <w:rPr>
                <w:caps/>
                <w:sz w:val="20"/>
              </w:rPr>
            </w:pPr>
            <w:r>
              <w:rPr>
                <w:caps/>
                <w:sz w:val="20"/>
              </w:rPr>
              <w:t>139</w:t>
            </w:r>
          </w:p>
        </w:tc>
      </w:tr>
      <w:tr>
        <w:trPr/>
        <w:tc>
          <w:tcPr>
            <w:tcW w:w="9540" w:type="dxa"/>
            <w:gridSpan w:val="2"/>
            <w:tcBorders/>
            <w:shd w:fill="C6F4F9" w:val="clear"/>
            <w:vAlign w:val="center"/>
          </w:tcPr>
          <w:p>
            <w:pPr>
              <w:pStyle w:val="TableContents"/>
              <w:bidi w:val="0"/>
              <w:spacing w:before="0" w:after="283"/>
              <w:jc w:val="left"/>
              <w:rPr/>
            </w:pPr>
            <w:r>
              <w:rPr/>
              <w:t> </w:t>
            </w:r>
          </w:p>
        </w:tc>
        <w:tc>
          <w:tcPr>
            <w:tcW w:w="665" w:type="dxa"/>
            <w:tcBorders/>
            <w:shd w:fill="C6F4F9" w:val="clear"/>
            <w:vAlign w:val="center"/>
          </w:tcPr>
          <w:p>
            <w:pPr>
              <w:pStyle w:val="TableContents"/>
              <w:bidi w:val="0"/>
              <w:spacing w:before="0" w:after="283"/>
              <w:jc w:val="right"/>
              <w:rPr/>
            </w:pPr>
            <w:r>
              <w:rPr/>
              <w:t> </w:t>
            </w:r>
          </w:p>
        </w:tc>
      </w:tr>
      <w:tr>
        <w:trPr/>
        <w:tc>
          <w:tcPr>
            <w:tcW w:w="500" w:type="dxa"/>
            <w:tcBorders/>
            <w:shd w:fill="FFFFFF" w:val="clear"/>
            <w:vAlign w:val="center"/>
          </w:tcPr>
          <w:p>
            <w:pPr>
              <w:pStyle w:val="TableContents"/>
              <w:bidi w:val="0"/>
              <w:spacing w:before="0" w:after="283"/>
              <w:jc w:val="left"/>
              <w:rPr>
                <w:sz w:val="20"/>
              </w:rPr>
            </w:pPr>
            <w:r>
              <w:rPr>
                <w:sz w:val="20"/>
              </w:rPr>
              <w:t>10.01</w:t>
            </w:r>
          </w:p>
        </w:tc>
        <w:tc>
          <w:tcPr>
            <w:tcW w:w="9040" w:type="dxa"/>
            <w:tcBorders/>
            <w:shd w:fill="FFFFFF" w:val="clear"/>
            <w:vAlign w:val="center"/>
          </w:tcPr>
          <w:p>
            <w:pPr>
              <w:pStyle w:val="TableContents"/>
              <w:bidi w:val="0"/>
              <w:spacing w:before="0" w:after="283"/>
              <w:jc w:val="left"/>
              <w:rPr>
                <w:sz w:val="20"/>
              </w:rPr>
            </w:pPr>
            <w:r>
              <w:rPr>
                <w:sz w:val="20"/>
              </w:rPr>
              <w:t>Guaranty</w:t>
            </w:r>
          </w:p>
        </w:tc>
        <w:tc>
          <w:tcPr>
            <w:tcW w:w="665" w:type="dxa"/>
            <w:tcBorders/>
            <w:shd w:fill="FFFFFF" w:val="clear"/>
            <w:vAlign w:val="center"/>
          </w:tcPr>
          <w:p>
            <w:pPr>
              <w:pStyle w:val="TableContents"/>
              <w:bidi w:val="0"/>
              <w:spacing w:before="0" w:after="283"/>
              <w:jc w:val="right"/>
              <w:rPr>
                <w:sz w:val="20"/>
              </w:rPr>
            </w:pPr>
            <w:r>
              <w:rPr>
                <w:sz w:val="20"/>
              </w:rPr>
              <w:t>139</w:t>
            </w:r>
          </w:p>
        </w:tc>
      </w:tr>
      <w:tr>
        <w:trPr/>
        <w:tc>
          <w:tcPr>
            <w:tcW w:w="500" w:type="dxa"/>
            <w:tcBorders/>
            <w:shd w:fill="C6F4F9" w:val="clear"/>
            <w:vAlign w:val="center"/>
          </w:tcPr>
          <w:p>
            <w:pPr>
              <w:pStyle w:val="TableContents"/>
              <w:bidi w:val="0"/>
              <w:spacing w:before="0" w:after="283"/>
              <w:jc w:val="left"/>
              <w:rPr>
                <w:sz w:val="20"/>
              </w:rPr>
            </w:pPr>
            <w:r>
              <w:rPr>
                <w:sz w:val="20"/>
              </w:rPr>
              <w:t>10.02</w:t>
            </w:r>
          </w:p>
        </w:tc>
        <w:tc>
          <w:tcPr>
            <w:tcW w:w="9040" w:type="dxa"/>
            <w:tcBorders/>
            <w:shd w:fill="C6F4F9" w:val="clear"/>
            <w:vAlign w:val="center"/>
          </w:tcPr>
          <w:p>
            <w:pPr>
              <w:pStyle w:val="TableContents"/>
              <w:bidi w:val="0"/>
              <w:spacing w:before="0" w:after="283"/>
              <w:jc w:val="left"/>
              <w:rPr>
                <w:sz w:val="20"/>
              </w:rPr>
            </w:pPr>
            <w:r>
              <w:rPr>
                <w:sz w:val="20"/>
              </w:rPr>
              <w:t>Rights of Lenders</w:t>
            </w:r>
          </w:p>
        </w:tc>
        <w:tc>
          <w:tcPr>
            <w:tcW w:w="665" w:type="dxa"/>
            <w:tcBorders/>
            <w:shd w:fill="C6F4F9" w:val="clear"/>
            <w:vAlign w:val="center"/>
          </w:tcPr>
          <w:p>
            <w:pPr>
              <w:pStyle w:val="TableContents"/>
              <w:bidi w:val="0"/>
              <w:spacing w:before="0" w:after="283"/>
              <w:jc w:val="right"/>
              <w:rPr/>
            </w:pPr>
            <w:r>
              <w:rPr>
                <w:strike/>
                <w:color w:val="FF0000"/>
                <w:sz w:val="20"/>
              </w:rPr>
              <w:t>141</w:t>
            </w:r>
            <w:r>
              <w:rPr>
                <w:color w:val="0000FF"/>
                <w:sz w:val="20"/>
                <w:u w:val="single"/>
              </w:rPr>
              <w:t>140</w:t>
            </w:r>
          </w:p>
        </w:tc>
      </w:tr>
      <w:tr>
        <w:trPr/>
        <w:tc>
          <w:tcPr>
            <w:tcW w:w="500" w:type="dxa"/>
            <w:tcBorders/>
            <w:shd w:fill="FFFFFF" w:val="clear"/>
            <w:vAlign w:val="center"/>
          </w:tcPr>
          <w:p>
            <w:pPr>
              <w:pStyle w:val="TableContents"/>
              <w:bidi w:val="0"/>
              <w:spacing w:before="0" w:after="283"/>
              <w:jc w:val="left"/>
              <w:rPr>
                <w:sz w:val="20"/>
              </w:rPr>
            </w:pPr>
            <w:r>
              <w:rPr>
                <w:sz w:val="20"/>
              </w:rPr>
              <w:t>10.03</w:t>
            </w:r>
          </w:p>
        </w:tc>
        <w:tc>
          <w:tcPr>
            <w:tcW w:w="9040" w:type="dxa"/>
            <w:tcBorders/>
            <w:shd w:fill="FFFFFF" w:val="clear"/>
            <w:vAlign w:val="center"/>
          </w:tcPr>
          <w:p>
            <w:pPr>
              <w:pStyle w:val="TableContents"/>
              <w:bidi w:val="0"/>
              <w:spacing w:before="0" w:after="283"/>
              <w:jc w:val="left"/>
              <w:rPr>
                <w:sz w:val="20"/>
              </w:rPr>
            </w:pPr>
            <w:r>
              <w:rPr>
                <w:sz w:val="20"/>
              </w:rPr>
              <w:t>Certain Waivers</w:t>
            </w:r>
          </w:p>
        </w:tc>
        <w:tc>
          <w:tcPr>
            <w:tcW w:w="665" w:type="dxa"/>
            <w:tcBorders/>
            <w:shd w:fill="FFFFFF" w:val="clear"/>
            <w:vAlign w:val="center"/>
          </w:tcPr>
          <w:p>
            <w:pPr>
              <w:pStyle w:val="TableContents"/>
              <w:bidi w:val="0"/>
              <w:spacing w:before="0" w:after="283"/>
              <w:jc w:val="right"/>
              <w:rPr/>
            </w:pPr>
            <w:r>
              <w:rPr>
                <w:strike/>
                <w:color w:val="FF0000"/>
                <w:sz w:val="20"/>
              </w:rPr>
              <w:t>141</w:t>
            </w:r>
            <w:r>
              <w:rPr>
                <w:color w:val="0000FF"/>
                <w:sz w:val="20"/>
                <w:u w:val="single"/>
              </w:rPr>
              <w:t>140</w:t>
            </w:r>
          </w:p>
        </w:tc>
      </w:tr>
      <w:tr>
        <w:trPr/>
        <w:tc>
          <w:tcPr>
            <w:tcW w:w="500" w:type="dxa"/>
            <w:tcBorders/>
            <w:shd w:fill="C6F4F9" w:val="clear"/>
            <w:vAlign w:val="center"/>
          </w:tcPr>
          <w:p>
            <w:pPr>
              <w:pStyle w:val="TableContents"/>
              <w:bidi w:val="0"/>
              <w:spacing w:before="0" w:after="283"/>
              <w:jc w:val="left"/>
              <w:rPr>
                <w:sz w:val="20"/>
              </w:rPr>
            </w:pPr>
            <w:r>
              <w:rPr>
                <w:sz w:val="20"/>
              </w:rPr>
              <w:t>10.04</w:t>
            </w:r>
          </w:p>
        </w:tc>
        <w:tc>
          <w:tcPr>
            <w:tcW w:w="9040" w:type="dxa"/>
            <w:tcBorders/>
            <w:shd w:fill="C6F4F9" w:val="clear"/>
            <w:vAlign w:val="center"/>
          </w:tcPr>
          <w:p>
            <w:pPr>
              <w:pStyle w:val="TableContents"/>
              <w:bidi w:val="0"/>
              <w:spacing w:before="0" w:after="283"/>
              <w:jc w:val="left"/>
              <w:rPr>
                <w:sz w:val="20"/>
              </w:rPr>
            </w:pPr>
            <w:r>
              <w:rPr>
                <w:sz w:val="20"/>
              </w:rPr>
              <w:t>Obligations Independent</w:t>
            </w:r>
          </w:p>
        </w:tc>
        <w:tc>
          <w:tcPr>
            <w:tcW w:w="665" w:type="dxa"/>
            <w:tcBorders/>
            <w:shd w:fill="C6F4F9" w:val="clear"/>
            <w:vAlign w:val="center"/>
          </w:tcPr>
          <w:p>
            <w:pPr>
              <w:pStyle w:val="TableContents"/>
              <w:bidi w:val="0"/>
              <w:spacing w:before="0" w:after="283"/>
              <w:jc w:val="right"/>
              <w:rPr>
                <w:sz w:val="20"/>
              </w:rPr>
            </w:pPr>
            <w:r>
              <w:rPr>
                <w:sz w:val="20"/>
              </w:rPr>
              <w:t>141</w:t>
            </w:r>
          </w:p>
        </w:tc>
      </w:tr>
      <w:tr>
        <w:trPr/>
        <w:tc>
          <w:tcPr>
            <w:tcW w:w="500" w:type="dxa"/>
            <w:tcBorders/>
            <w:shd w:fill="FFFFFF" w:val="clear"/>
            <w:vAlign w:val="center"/>
          </w:tcPr>
          <w:p>
            <w:pPr>
              <w:pStyle w:val="TableContents"/>
              <w:bidi w:val="0"/>
              <w:spacing w:before="0" w:after="283"/>
              <w:jc w:val="left"/>
              <w:rPr>
                <w:sz w:val="20"/>
              </w:rPr>
            </w:pPr>
            <w:r>
              <w:rPr>
                <w:sz w:val="20"/>
              </w:rPr>
              <w:t>10.05</w:t>
            </w:r>
          </w:p>
        </w:tc>
        <w:tc>
          <w:tcPr>
            <w:tcW w:w="9040" w:type="dxa"/>
            <w:tcBorders/>
            <w:shd w:fill="FFFFFF" w:val="clear"/>
            <w:vAlign w:val="center"/>
          </w:tcPr>
          <w:p>
            <w:pPr>
              <w:pStyle w:val="TableContents"/>
              <w:bidi w:val="0"/>
              <w:spacing w:before="0" w:after="283"/>
              <w:jc w:val="left"/>
              <w:rPr>
                <w:sz w:val="20"/>
              </w:rPr>
            </w:pPr>
            <w:r>
              <w:rPr>
                <w:sz w:val="20"/>
              </w:rPr>
              <w:t>Subrogation</w:t>
            </w:r>
          </w:p>
        </w:tc>
        <w:tc>
          <w:tcPr>
            <w:tcW w:w="665" w:type="dxa"/>
            <w:tcBorders/>
            <w:shd w:fill="FFFFFF" w:val="clear"/>
            <w:vAlign w:val="center"/>
          </w:tcPr>
          <w:p>
            <w:pPr>
              <w:pStyle w:val="TableContents"/>
              <w:bidi w:val="0"/>
              <w:spacing w:before="0" w:after="283"/>
              <w:jc w:val="right"/>
              <w:rPr>
                <w:sz w:val="20"/>
              </w:rPr>
            </w:pPr>
            <w:r>
              <w:rPr>
                <w:sz w:val="20"/>
              </w:rPr>
              <w:t>141</w:t>
            </w:r>
          </w:p>
        </w:tc>
      </w:tr>
    </w:tbl>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380" w:type="dxa"/>
        <w:jc w:val="left"/>
        <w:tblInd w:w="0" w:type="dxa"/>
        <w:tblLayout w:type="fixed"/>
        <w:tblCellMar>
          <w:top w:w="0" w:type="dxa"/>
          <w:left w:w="0" w:type="dxa"/>
          <w:bottom w:w="0" w:type="dxa"/>
          <w:right w:w="0" w:type="dxa"/>
        </w:tblCellMar>
      </w:tblPr>
      <w:tblGrid>
        <w:gridCol w:w="500"/>
        <w:gridCol w:w="6215"/>
        <w:gridCol w:w="665"/>
      </w:tblGrid>
      <w:tr>
        <w:trPr/>
        <w:tc>
          <w:tcPr>
            <w:tcW w:w="500" w:type="dxa"/>
            <w:tcBorders/>
            <w:shd w:fill="C6F4F9" w:val="clear"/>
            <w:vAlign w:val="center"/>
          </w:tcPr>
          <w:p>
            <w:pPr>
              <w:pStyle w:val="TableContents"/>
              <w:bidi w:val="0"/>
              <w:spacing w:before="0" w:after="283"/>
              <w:jc w:val="left"/>
              <w:rPr>
                <w:sz w:val="20"/>
              </w:rPr>
            </w:pPr>
            <w:r>
              <w:rPr>
                <w:sz w:val="20"/>
              </w:rPr>
              <w:t>10.06</w:t>
            </w:r>
          </w:p>
        </w:tc>
        <w:tc>
          <w:tcPr>
            <w:tcW w:w="6215" w:type="dxa"/>
            <w:tcBorders/>
            <w:shd w:fill="C6F4F9" w:val="clear"/>
            <w:vAlign w:val="center"/>
          </w:tcPr>
          <w:p>
            <w:pPr>
              <w:pStyle w:val="TableContents"/>
              <w:bidi w:val="0"/>
              <w:spacing w:before="0" w:after="283"/>
              <w:jc w:val="left"/>
              <w:rPr>
                <w:sz w:val="20"/>
              </w:rPr>
            </w:pPr>
            <w:r>
              <w:rPr>
                <w:sz w:val="20"/>
              </w:rPr>
              <w:t>Termination; Reinstatement</w:t>
            </w:r>
          </w:p>
        </w:tc>
        <w:tc>
          <w:tcPr>
            <w:tcW w:w="665" w:type="dxa"/>
            <w:tcBorders/>
            <w:shd w:fill="C6F4F9" w:val="clear"/>
            <w:vAlign w:val="center"/>
          </w:tcPr>
          <w:p>
            <w:pPr>
              <w:pStyle w:val="TableContents"/>
              <w:bidi w:val="0"/>
              <w:spacing w:before="0" w:after="283"/>
              <w:jc w:val="right"/>
              <w:rPr/>
            </w:pPr>
            <w:r>
              <w:rPr>
                <w:strike/>
                <w:color w:val="FF0000"/>
                <w:sz w:val="20"/>
              </w:rPr>
              <w:t>142</w:t>
            </w:r>
            <w:r>
              <w:rPr>
                <w:color w:val="0000FF"/>
                <w:sz w:val="20"/>
                <w:u w:val="single"/>
              </w:rPr>
              <w:t>141</w:t>
            </w:r>
          </w:p>
        </w:tc>
      </w:tr>
      <w:tr>
        <w:trPr/>
        <w:tc>
          <w:tcPr>
            <w:tcW w:w="500" w:type="dxa"/>
            <w:tcBorders/>
            <w:shd w:fill="FFFFFF" w:val="clear"/>
            <w:vAlign w:val="center"/>
          </w:tcPr>
          <w:p>
            <w:pPr>
              <w:pStyle w:val="TableContents"/>
              <w:bidi w:val="0"/>
              <w:spacing w:before="0" w:after="283"/>
              <w:jc w:val="left"/>
              <w:rPr>
                <w:sz w:val="20"/>
              </w:rPr>
            </w:pPr>
            <w:r>
              <w:rPr>
                <w:sz w:val="20"/>
              </w:rPr>
              <w:t>10.07</w:t>
            </w:r>
          </w:p>
        </w:tc>
        <w:tc>
          <w:tcPr>
            <w:tcW w:w="6215" w:type="dxa"/>
            <w:tcBorders/>
            <w:shd w:fill="FFFFFF" w:val="clear"/>
            <w:vAlign w:val="center"/>
          </w:tcPr>
          <w:p>
            <w:pPr>
              <w:pStyle w:val="TableContents"/>
              <w:bidi w:val="0"/>
              <w:spacing w:before="0" w:after="283"/>
              <w:jc w:val="left"/>
              <w:rPr>
                <w:sz w:val="20"/>
              </w:rPr>
            </w:pPr>
            <w:r>
              <w:rPr>
                <w:sz w:val="20"/>
              </w:rPr>
              <w:t>Stay of Acceleration</w:t>
            </w:r>
          </w:p>
        </w:tc>
        <w:tc>
          <w:tcPr>
            <w:tcW w:w="665" w:type="dxa"/>
            <w:tcBorders/>
            <w:shd w:fill="FFFFFF" w:val="clear"/>
            <w:vAlign w:val="center"/>
          </w:tcPr>
          <w:p>
            <w:pPr>
              <w:pStyle w:val="TableContents"/>
              <w:bidi w:val="0"/>
              <w:spacing w:before="0" w:after="283"/>
              <w:jc w:val="right"/>
              <w:rPr/>
            </w:pPr>
            <w:r>
              <w:rPr>
                <w:strike/>
                <w:color w:val="FF0000"/>
                <w:sz w:val="20"/>
              </w:rPr>
              <w:t>142</w:t>
            </w:r>
            <w:r>
              <w:rPr>
                <w:color w:val="0000FF"/>
                <w:sz w:val="20"/>
                <w:u w:val="single"/>
              </w:rPr>
              <w:t>141</w:t>
            </w:r>
          </w:p>
        </w:tc>
      </w:tr>
      <w:tr>
        <w:trPr/>
        <w:tc>
          <w:tcPr>
            <w:tcW w:w="500" w:type="dxa"/>
            <w:tcBorders/>
            <w:shd w:fill="C6F4F9" w:val="clear"/>
            <w:vAlign w:val="center"/>
          </w:tcPr>
          <w:p>
            <w:pPr>
              <w:pStyle w:val="TableContents"/>
              <w:bidi w:val="0"/>
              <w:spacing w:before="0" w:after="283"/>
              <w:jc w:val="left"/>
              <w:rPr>
                <w:sz w:val="20"/>
              </w:rPr>
            </w:pPr>
            <w:r>
              <w:rPr>
                <w:sz w:val="20"/>
              </w:rPr>
              <w:t>10.08</w:t>
            </w:r>
          </w:p>
        </w:tc>
        <w:tc>
          <w:tcPr>
            <w:tcW w:w="6215" w:type="dxa"/>
            <w:tcBorders/>
            <w:shd w:fill="C6F4F9" w:val="clear"/>
            <w:vAlign w:val="center"/>
          </w:tcPr>
          <w:p>
            <w:pPr>
              <w:pStyle w:val="TableContents"/>
              <w:bidi w:val="0"/>
              <w:spacing w:before="0" w:after="283"/>
              <w:jc w:val="left"/>
              <w:rPr>
                <w:sz w:val="20"/>
              </w:rPr>
            </w:pPr>
            <w:r>
              <w:rPr>
                <w:sz w:val="20"/>
              </w:rPr>
              <w:t>Condition of Borrower</w:t>
            </w:r>
          </w:p>
        </w:tc>
        <w:tc>
          <w:tcPr>
            <w:tcW w:w="665" w:type="dxa"/>
            <w:tcBorders/>
            <w:shd w:fill="C6F4F9" w:val="clear"/>
            <w:vAlign w:val="center"/>
          </w:tcPr>
          <w:p>
            <w:pPr>
              <w:pStyle w:val="TableContents"/>
              <w:bidi w:val="0"/>
              <w:spacing w:before="0" w:after="283"/>
              <w:jc w:val="right"/>
              <w:rPr/>
            </w:pPr>
            <w:r>
              <w:rPr>
                <w:strike/>
                <w:color w:val="FF0000"/>
                <w:sz w:val="20"/>
              </w:rPr>
              <w:t>142</w:t>
            </w:r>
            <w:r>
              <w:rPr>
                <w:color w:val="0000FF"/>
                <w:sz w:val="20"/>
                <w:u w:val="single"/>
              </w:rPr>
              <w:t>141</w:t>
            </w:r>
          </w:p>
        </w:tc>
      </w:tr>
      <w:tr>
        <w:trPr/>
        <w:tc>
          <w:tcPr>
            <w:tcW w:w="500" w:type="dxa"/>
            <w:tcBorders/>
            <w:shd w:fill="FFFFFF" w:val="clear"/>
            <w:vAlign w:val="center"/>
          </w:tcPr>
          <w:p>
            <w:pPr>
              <w:pStyle w:val="TableContents"/>
              <w:bidi w:val="0"/>
              <w:spacing w:before="0" w:after="283"/>
              <w:jc w:val="left"/>
              <w:rPr>
                <w:sz w:val="20"/>
              </w:rPr>
            </w:pPr>
            <w:r>
              <w:rPr>
                <w:sz w:val="20"/>
              </w:rPr>
              <w:t>10.09</w:t>
            </w:r>
          </w:p>
        </w:tc>
        <w:tc>
          <w:tcPr>
            <w:tcW w:w="6215" w:type="dxa"/>
            <w:tcBorders/>
            <w:shd w:fill="FFFFFF" w:val="clear"/>
            <w:vAlign w:val="center"/>
          </w:tcPr>
          <w:p>
            <w:pPr>
              <w:pStyle w:val="TableContents"/>
              <w:bidi w:val="0"/>
              <w:spacing w:before="0" w:after="283"/>
              <w:jc w:val="left"/>
              <w:rPr>
                <w:sz w:val="20"/>
              </w:rPr>
            </w:pPr>
            <w:r>
              <w:rPr>
                <w:sz w:val="20"/>
              </w:rPr>
              <w:t>Appointment of the Parent as Agent for All Loan Parties</w:t>
            </w:r>
          </w:p>
        </w:tc>
        <w:tc>
          <w:tcPr>
            <w:tcW w:w="665" w:type="dxa"/>
            <w:tcBorders/>
            <w:shd w:fill="FFFFFF" w:val="clear"/>
            <w:vAlign w:val="center"/>
          </w:tcPr>
          <w:p>
            <w:pPr>
              <w:pStyle w:val="TableContents"/>
              <w:bidi w:val="0"/>
              <w:spacing w:before="0" w:after="283"/>
              <w:jc w:val="right"/>
              <w:rPr>
                <w:sz w:val="20"/>
              </w:rPr>
            </w:pPr>
            <w:r>
              <w:rPr>
                <w:sz w:val="20"/>
              </w:rPr>
              <w:t>142</w:t>
            </w:r>
          </w:p>
        </w:tc>
      </w:tr>
      <w:tr>
        <w:trPr/>
        <w:tc>
          <w:tcPr>
            <w:tcW w:w="500" w:type="dxa"/>
            <w:tcBorders/>
            <w:shd w:fill="C6F4F9" w:val="clear"/>
            <w:vAlign w:val="center"/>
          </w:tcPr>
          <w:p>
            <w:pPr>
              <w:pStyle w:val="TableContents"/>
              <w:bidi w:val="0"/>
              <w:spacing w:before="0" w:after="283"/>
              <w:jc w:val="left"/>
              <w:rPr>
                <w:sz w:val="20"/>
              </w:rPr>
            </w:pPr>
            <w:r>
              <w:rPr>
                <w:sz w:val="20"/>
              </w:rPr>
              <w:t>10.10</w:t>
            </w:r>
          </w:p>
        </w:tc>
        <w:tc>
          <w:tcPr>
            <w:tcW w:w="6215" w:type="dxa"/>
            <w:tcBorders/>
            <w:shd w:fill="C6F4F9" w:val="clear"/>
            <w:vAlign w:val="center"/>
          </w:tcPr>
          <w:p>
            <w:pPr>
              <w:pStyle w:val="TableContents"/>
              <w:bidi w:val="0"/>
              <w:spacing w:before="0" w:after="283"/>
              <w:jc w:val="left"/>
              <w:rPr>
                <w:sz w:val="20"/>
              </w:rPr>
            </w:pPr>
            <w:r>
              <w:rPr>
                <w:sz w:val="20"/>
              </w:rPr>
              <w:t>Right of Contribution</w:t>
            </w:r>
          </w:p>
        </w:tc>
        <w:tc>
          <w:tcPr>
            <w:tcW w:w="665" w:type="dxa"/>
            <w:tcBorders/>
            <w:shd w:fill="C6F4F9" w:val="clear"/>
            <w:vAlign w:val="center"/>
          </w:tcPr>
          <w:p>
            <w:pPr>
              <w:pStyle w:val="TableContents"/>
              <w:bidi w:val="0"/>
              <w:spacing w:before="0" w:after="283"/>
              <w:jc w:val="right"/>
              <w:rPr>
                <w:sz w:val="20"/>
              </w:rPr>
            </w:pPr>
            <w:r>
              <w:rPr>
                <w:sz w:val="20"/>
              </w:rPr>
              <w:t>142</w:t>
            </w:r>
          </w:p>
        </w:tc>
      </w:tr>
      <w:tr>
        <w:trPr/>
        <w:tc>
          <w:tcPr>
            <w:tcW w:w="500" w:type="dxa"/>
            <w:tcBorders/>
            <w:shd w:fill="FFFFFF" w:val="clear"/>
            <w:vAlign w:val="center"/>
          </w:tcPr>
          <w:p>
            <w:pPr>
              <w:pStyle w:val="TableContents"/>
              <w:bidi w:val="0"/>
              <w:spacing w:before="0" w:after="283"/>
              <w:jc w:val="left"/>
              <w:rPr>
                <w:sz w:val="20"/>
              </w:rPr>
            </w:pPr>
            <w:r>
              <w:rPr>
                <w:sz w:val="20"/>
              </w:rPr>
              <w:t>10.11</w:t>
            </w:r>
          </w:p>
        </w:tc>
        <w:tc>
          <w:tcPr>
            <w:tcW w:w="6215" w:type="dxa"/>
            <w:tcBorders/>
            <w:shd w:fill="FFFFFF" w:val="clear"/>
            <w:vAlign w:val="center"/>
          </w:tcPr>
          <w:p>
            <w:pPr>
              <w:pStyle w:val="TableContents"/>
              <w:bidi w:val="0"/>
              <w:spacing w:before="0" w:after="283"/>
              <w:jc w:val="left"/>
              <w:rPr>
                <w:sz w:val="20"/>
              </w:rPr>
            </w:pPr>
            <w:r>
              <w:rPr>
                <w:sz w:val="20"/>
              </w:rPr>
              <w:t>Keepwell</w:t>
            </w:r>
          </w:p>
        </w:tc>
        <w:tc>
          <w:tcPr>
            <w:tcW w:w="665" w:type="dxa"/>
            <w:tcBorders/>
            <w:shd w:fill="FFFFFF" w:val="clear"/>
            <w:vAlign w:val="center"/>
          </w:tcPr>
          <w:p>
            <w:pPr>
              <w:pStyle w:val="TableContents"/>
              <w:bidi w:val="0"/>
              <w:spacing w:before="0" w:after="283"/>
              <w:jc w:val="right"/>
              <w:rPr/>
            </w:pPr>
            <w:r>
              <w:rPr>
                <w:strike/>
                <w:color w:val="FF0000"/>
                <w:sz w:val="20"/>
              </w:rPr>
              <w:t>143</w:t>
            </w:r>
            <w:r>
              <w:rPr>
                <w:color w:val="0000FF"/>
                <w:sz w:val="20"/>
                <w:u w:val="single"/>
              </w:rPr>
              <w:t>142</w:t>
            </w:r>
          </w:p>
        </w:tc>
      </w:tr>
      <w:tr>
        <w:trPr/>
        <w:tc>
          <w:tcPr>
            <w:tcW w:w="500" w:type="dxa"/>
            <w:tcBorders/>
            <w:shd w:fill="C6F4F9" w:val="clear"/>
            <w:vAlign w:val="center"/>
          </w:tcPr>
          <w:p>
            <w:pPr>
              <w:pStyle w:val="TableContents"/>
              <w:bidi w:val="0"/>
              <w:spacing w:before="0" w:after="283"/>
              <w:jc w:val="left"/>
              <w:rPr/>
            </w:pPr>
            <w:r>
              <w:rPr/>
              <w:t> </w:t>
            </w:r>
          </w:p>
        </w:tc>
        <w:tc>
          <w:tcPr>
            <w:tcW w:w="6215" w:type="dxa"/>
            <w:tcBorders/>
            <w:shd w:fill="C6F4F9" w:val="clear"/>
            <w:vAlign w:val="center"/>
          </w:tcPr>
          <w:p>
            <w:pPr>
              <w:pStyle w:val="TableContents"/>
              <w:bidi w:val="0"/>
              <w:spacing w:before="0" w:after="283"/>
              <w:jc w:val="left"/>
              <w:rPr/>
            </w:pPr>
            <w:r>
              <w:rPr/>
              <w:t> </w:t>
            </w:r>
          </w:p>
        </w:tc>
        <w:tc>
          <w:tcPr>
            <w:tcW w:w="665" w:type="dxa"/>
            <w:tcBorders/>
            <w:shd w:fill="C6F4F9" w:val="clear"/>
            <w:vAlign w:val="center"/>
          </w:tcPr>
          <w:p>
            <w:pPr>
              <w:pStyle w:val="TableContents"/>
              <w:bidi w:val="0"/>
              <w:spacing w:before="0" w:after="283"/>
              <w:jc w:val="right"/>
              <w:rPr/>
            </w:pPr>
            <w:r>
              <w:rPr/>
              <w:t> </w:t>
            </w:r>
          </w:p>
        </w:tc>
      </w:tr>
      <w:tr>
        <w:trPr/>
        <w:tc>
          <w:tcPr>
            <w:tcW w:w="6715" w:type="dxa"/>
            <w:gridSpan w:val="2"/>
            <w:tcBorders/>
            <w:shd w:fill="FFFFFF" w:val="clear"/>
            <w:vAlign w:val="center"/>
          </w:tcPr>
          <w:p>
            <w:pPr>
              <w:pStyle w:val="TableContents"/>
              <w:bidi w:val="0"/>
              <w:spacing w:before="0" w:after="283"/>
              <w:jc w:val="left"/>
              <w:rPr/>
            </w:pPr>
            <w:r>
              <w:rPr>
                <w:caps/>
                <w:sz w:val="20"/>
              </w:rPr>
              <w:t>Article XI MISCELLANEOUS</w:t>
            </w:r>
            <w:r>
              <w:rPr/>
              <w:t xml:space="preserve"> </w:t>
            </w:r>
          </w:p>
        </w:tc>
        <w:tc>
          <w:tcPr>
            <w:tcW w:w="665" w:type="dxa"/>
            <w:tcBorders/>
            <w:shd w:fill="FFFFFF" w:val="clear"/>
            <w:vAlign w:val="center"/>
          </w:tcPr>
          <w:p>
            <w:pPr>
              <w:pStyle w:val="TableContents"/>
              <w:bidi w:val="0"/>
              <w:spacing w:before="0" w:after="283"/>
              <w:jc w:val="right"/>
              <w:rPr/>
            </w:pPr>
            <w:r>
              <w:rPr>
                <w:caps/>
                <w:strike/>
                <w:color w:val="FF0000"/>
                <w:sz w:val="20"/>
              </w:rPr>
              <w:t>143</w:t>
            </w:r>
            <w:r>
              <w:rPr>
                <w:caps/>
                <w:color w:val="0000FF"/>
                <w:sz w:val="20"/>
                <w:u w:val="single"/>
              </w:rPr>
              <w:t>142</w:t>
            </w:r>
          </w:p>
        </w:tc>
      </w:tr>
      <w:tr>
        <w:trPr/>
        <w:tc>
          <w:tcPr>
            <w:tcW w:w="6715" w:type="dxa"/>
            <w:gridSpan w:val="2"/>
            <w:tcBorders/>
            <w:shd w:fill="C6F4F9" w:val="clear"/>
            <w:vAlign w:val="center"/>
          </w:tcPr>
          <w:p>
            <w:pPr>
              <w:pStyle w:val="TableContents"/>
              <w:bidi w:val="0"/>
              <w:spacing w:before="0" w:after="283"/>
              <w:jc w:val="left"/>
              <w:rPr/>
            </w:pPr>
            <w:r>
              <w:rPr/>
              <w:t> </w:t>
            </w:r>
          </w:p>
        </w:tc>
        <w:tc>
          <w:tcPr>
            <w:tcW w:w="665" w:type="dxa"/>
            <w:tcBorders/>
            <w:shd w:fill="C6F4F9" w:val="clear"/>
            <w:vAlign w:val="center"/>
          </w:tcPr>
          <w:p>
            <w:pPr>
              <w:pStyle w:val="TableContents"/>
              <w:bidi w:val="0"/>
              <w:spacing w:before="0" w:after="283"/>
              <w:jc w:val="right"/>
              <w:rPr/>
            </w:pPr>
            <w:r>
              <w:rPr/>
              <w:t> </w:t>
            </w:r>
          </w:p>
        </w:tc>
      </w:tr>
      <w:tr>
        <w:trPr/>
        <w:tc>
          <w:tcPr>
            <w:tcW w:w="500" w:type="dxa"/>
            <w:tcBorders/>
            <w:shd w:fill="FFFFFF" w:val="clear"/>
            <w:vAlign w:val="center"/>
          </w:tcPr>
          <w:p>
            <w:pPr>
              <w:pStyle w:val="TableContents"/>
              <w:bidi w:val="0"/>
              <w:spacing w:before="0" w:after="283"/>
              <w:jc w:val="left"/>
              <w:rPr>
                <w:sz w:val="20"/>
              </w:rPr>
            </w:pPr>
            <w:r>
              <w:rPr>
                <w:sz w:val="20"/>
              </w:rPr>
              <w:t>11.01</w:t>
            </w:r>
          </w:p>
        </w:tc>
        <w:tc>
          <w:tcPr>
            <w:tcW w:w="6215" w:type="dxa"/>
            <w:tcBorders/>
            <w:shd w:fill="FFFFFF" w:val="clear"/>
            <w:vAlign w:val="center"/>
          </w:tcPr>
          <w:p>
            <w:pPr>
              <w:pStyle w:val="TableContents"/>
              <w:bidi w:val="0"/>
              <w:spacing w:before="0" w:after="283"/>
              <w:jc w:val="left"/>
              <w:rPr>
                <w:sz w:val="20"/>
              </w:rPr>
            </w:pPr>
            <w:r>
              <w:rPr>
                <w:sz w:val="20"/>
              </w:rPr>
              <w:t>Amendments, Etc</w:t>
            </w:r>
          </w:p>
        </w:tc>
        <w:tc>
          <w:tcPr>
            <w:tcW w:w="665" w:type="dxa"/>
            <w:tcBorders/>
            <w:shd w:fill="FFFFFF" w:val="clear"/>
            <w:vAlign w:val="center"/>
          </w:tcPr>
          <w:p>
            <w:pPr>
              <w:pStyle w:val="TableContents"/>
              <w:bidi w:val="0"/>
              <w:spacing w:before="0" w:after="283"/>
              <w:jc w:val="right"/>
              <w:rPr/>
            </w:pPr>
            <w:r>
              <w:rPr>
                <w:strike/>
                <w:color w:val="FF0000"/>
                <w:sz w:val="20"/>
              </w:rPr>
              <w:t>143</w:t>
            </w:r>
            <w:r>
              <w:rPr>
                <w:color w:val="0000FF"/>
                <w:sz w:val="20"/>
                <w:u w:val="single"/>
              </w:rPr>
              <w:t>142</w:t>
            </w:r>
          </w:p>
        </w:tc>
      </w:tr>
      <w:tr>
        <w:trPr/>
        <w:tc>
          <w:tcPr>
            <w:tcW w:w="500" w:type="dxa"/>
            <w:tcBorders/>
            <w:shd w:fill="C6F4F9" w:val="clear"/>
            <w:vAlign w:val="center"/>
          </w:tcPr>
          <w:p>
            <w:pPr>
              <w:pStyle w:val="TableContents"/>
              <w:bidi w:val="0"/>
              <w:spacing w:before="0" w:after="283"/>
              <w:jc w:val="left"/>
              <w:rPr>
                <w:sz w:val="20"/>
              </w:rPr>
            </w:pPr>
            <w:r>
              <w:rPr>
                <w:sz w:val="20"/>
              </w:rPr>
              <w:t>11.02</w:t>
            </w:r>
          </w:p>
        </w:tc>
        <w:tc>
          <w:tcPr>
            <w:tcW w:w="6215" w:type="dxa"/>
            <w:tcBorders/>
            <w:shd w:fill="C6F4F9" w:val="clear"/>
            <w:vAlign w:val="center"/>
          </w:tcPr>
          <w:p>
            <w:pPr>
              <w:pStyle w:val="TableContents"/>
              <w:bidi w:val="0"/>
              <w:spacing w:before="0" w:after="283"/>
              <w:jc w:val="left"/>
              <w:rPr>
                <w:sz w:val="20"/>
              </w:rPr>
            </w:pPr>
            <w:r>
              <w:rPr>
                <w:sz w:val="20"/>
              </w:rPr>
              <w:t>Notices; Effectiveness; Electronic Communications</w:t>
            </w:r>
          </w:p>
        </w:tc>
        <w:tc>
          <w:tcPr>
            <w:tcW w:w="665" w:type="dxa"/>
            <w:tcBorders/>
            <w:shd w:fill="C6F4F9" w:val="clear"/>
            <w:vAlign w:val="center"/>
          </w:tcPr>
          <w:p>
            <w:pPr>
              <w:pStyle w:val="TableContents"/>
              <w:bidi w:val="0"/>
              <w:spacing w:before="0" w:after="283"/>
              <w:jc w:val="right"/>
              <w:rPr/>
            </w:pPr>
            <w:r>
              <w:rPr>
                <w:strike/>
                <w:color w:val="FF0000"/>
                <w:sz w:val="20"/>
              </w:rPr>
              <w:t>145</w:t>
            </w:r>
            <w:r>
              <w:rPr>
                <w:color w:val="0000FF"/>
                <w:sz w:val="20"/>
                <w:u w:val="single"/>
              </w:rPr>
              <w:t>144</w:t>
            </w:r>
          </w:p>
        </w:tc>
      </w:tr>
      <w:tr>
        <w:trPr/>
        <w:tc>
          <w:tcPr>
            <w:tcW w:w="500" w:type="dxa"/>
            <w:tcBorders/>
            <w:shd w:fill="FFFFFF" w:val="clear"/>
            <w:vAlign w:val="center"/>
          </w:tcPr>
          <w:p>
            <w:pPr>
              <w:pStyle w:val="TableContents"/>
              <w:bidi w:val="0"/>
              <w:spacing w:before="0" w:after="283"/>
              <w:jc w:val="left"/>
              <w:rPr>
                <w:sz w:val="20"/>
              </w:rPr>
            </w:pPr>
            <w:r>
              <w:rPr>
                <w:sz w:val="20"/>
              </w:rPr>
              <w:t>11.03</w:t>
            </w:r>
          </w:p>
        </w:tc>
        <w:tc>
          <w:tcPr>
            <w:tcW w:w="6215" w:type="dxa"/>
            <w:tcBorders/>
            <w:shd w:fill="FFFFFF" w:val="clear"/>
            <w:vAlign w:val="center"/>
          </w:tcPr>
          <w:p>
            <w:pPr>
              <w:pStyle w:val="TableContents"/>
              <w:bidi w:val="0"/>
              <w:spacing w:before="0" w:after="283"/>
              <w:jc w:val="left"/>
              <w:rPr>
                <w:sz w:val="20"/>
              </w:rPr>
            </w:pPr>
            <w:r>
              <w:rPr>
                <w:sz w:val="20"/>
              </w:rPr>
              <w:t>No Waiver; Cumulative Remedies; Enforcement</w:t>
            </w:r>
          </w:p>
        </w:tc>
        <w:tc>
          <w:tcPr>
            <w:tcW w:w="665" w:type="dxa"/>
            <w:tcBorders/>
            <w:shd w:fill="FFFFFF" w:val="clear"/>
            <w:vAlign w:val="center"/>
          </w:tcPr>
          <w:p>
            <w:pPr>
              <w:pStyle w:val="TableContents"/>
              <w:bidi w:val="0"/>
              <w:spacing w:before="0" w:after="283"/>
              <w:jc w:val="right"/>
              <w:rPr>
                <w:sz w:val="20"/>
              </w:rPr>
            </w:pPr>
            <w:r>
              <w:rPr>
                <w:sz w:val="20"/>
              </w:rPr>
              <w:t>147</w:t>
            </w:r>
          </w:p>
        </w:tc>
      </w:tr>
      <w:tr>
        <w:trPr/>
        <w:tc>
          <w:tcPr>
            <w:tcW w:w="500" w:type="dxa"/>
            <w:tcBorders/>
            <w:shd w:fill="C6F4F9" w:val="clear"/>
            <w:vAlign w:val="center"/>
          </w:tcPr>
          <w:p>
            <w:pPr>
              <w:pStyle w:val="TableContents"/>
              <w:bidi w:val="0"/>
              <w:spacing w:before="0" w:after="283"/>
              <w:jc w:val="left"/>
              <w:rPr>
                <w:sz w:val="20"/>
              </w:rPr>
            </w:pPr>
            <w:r>
              <w:rPr>
                <w:sz w:val="20"/>
              </w:rPr>
              <w:t>11.04</w:t>
            </w:r>
          </w:p>
        </w:tc>
        <w:tc>
          <w:tcPr>
            <w:tcW w:w="6215" w:type="dxa"/>
            <w:tcBorders/>
            <w:shd w:fill="C6F4F9" w:val="clear"/>
            <w:vAlign w:val="center"/>
          </w:tcPr>
          <w:p>
            <w:pPr>
              <w:pStyle w:val="TableContents"/>
              <w:bidi w:val="0"/>
              <w:spacing w:before="0" w:after="283"/>
              <w:jc w:val="left"/>
              <w:rPr>
                <w:sz w:val="20"/>
              </w:rPr>
            </w:pPr>
            <w:r>
              <w:rPr>
                <w:sz w:val="20"/>
              </w:rPr>
              <w:t>Expenses; Indemnity; Damage Waiver</w:t>
            </w:r>
          </w:p>
        </w:tc>
        <w:tc>
          <w:tcPr>
            <w:tcW w:w="665" w:type="dxa"/>
            <w:tcBorders/>
            <w:shd w:fill="C6F4F9" w:val="clear"/>
            <w:vAlign w:val="center"/>
          </w:tcPr>
          <w:p>
            <w:pPr>
              <w:pStyle w:val="TableContents"/>
              <w:bidi w:val="0"/>
              <w:spacing w:before="0" w:after="283"/>
              <w:jc w:val="right"/>
              <w:rPr/>
            </w:pPr>
            <w:r>
              <w:rPr>
                <w:strike/>
                <w:color w:val="FF0000"/>
                <w:sz w:val="20"/>
              </w:rPr>
              <w:t>148</w:t>
            </w:r>
            <w:r>
              <w:rPr>
                <w:color w:val="0000FF"/>
                <w:sz w:val="20"/>
                <w:u w:val="single"/>
              </w:rPr>
              <w:t>147</w:t>
            </w:r>
          </w:p>
        </w:tc>
      </w:tr>
      <w:tr>
        <w:trPr/>
        <w:tc>
          <w:tcPr>
            <w:tcW w:w="500" w:type="dxa"/>
            <w:tcBorders/>
            <w:shd w:fill="FFFFFF" w:val="clear"/>
            <w:vAlign w:val="center"/>
          </w:tcPr>
          <w:p>
            <w:pPr>
              <w:pStyle w:val="TableContents"/>
              <w:bidi w:val="0"/>
              <w:spacing w:before="0" w:after="283"/>
              <w:jc w:val="left"/>
              <w:rPr>
                <w:sz w:val="20"/>
              </w:rPr>
            </w:pPr>
            <w:r>
              <w:rPr>
                <w:sz w:val="20"/>
              </w:rPr>
              <w:t>11.05</w:t>
            </w:r>
          </w:p>
        </w:tc>
        <w:tc>
          <w:tcPr>
            <w:tcW w:w="6215" w:type="dxa"/>
            <w:tcBorders/>
            <w:shd w:fill="FFFFFF" w:val="clear"/>
            <w:vAlign w:val="center"/>
          </w:tcPr>
          <w:p>
            <w:pPr>
              <w:pStyle w:val="TableContents"/>
              <w:bidi w:val="0"/>
              <w:spacing w:before="0" w:after="283"/>
              <w:jc w:val="left"/>
              <w:rPr>
                <w:sz w:val="20"/>
              </w:rPr>
            </w:pPr>
            <w:r>
              <w:rPr>
                <w:sz w:val="20"/>
              </w:rPr>
              <w:t>Payments Set Aside</w:t>
            </w:r>
          </w:p>
        </w:tc>
        <w:tc>
          <w:tcPr>
            <w:tcW w:w="665" w:type="dxa"/>
            <w:tcBorders/>
            <w:shd w:fill="FFFFFF" w:val="clear"/>
            <w:vAlign w:val="center"/>
          </w:tcPr>
          <w:p>
            <w:pPr>
              <w:pStyle w:val="TableContents"/>
              <w:bidi w:val="0"/>
              <w:spacing w:before="0" w:after="283"/>
              <w:jc w:val="right"/>
              <w:rPr/>
            </w:pPr>
            <w:r>
              <w:rPr>
                <w:strike/>
                <w:color w:val="FF0000"/>
                <w:sz w:val="20"/>
              </w:rPr>
              <w:t>150</w:t>
            </w:r>
            <w:r>
              <w:rPr>
                <w:color w:val="0000FF"/>
                <w:sz w:val="20"/>
                <w:u w:val="single"/>
              </w:rPr>
              <w:t>149</w:t>
            </w:r>
          </w:p>
        </w:tc>
      </w:tr>
      <w:tr>
        <w:trPr/>
        <w:tc>
          <w:tcPr>
            <w:tcW w:w="500" w:type="dxa"/>
            <w:tcBorders/>
            <w:shd w:fill="C6F4F9" w:val="clear"/>
            <w:vAlign w:val="center"/>
          </w:tcPr>
          <w:p>
            <w:pPr>
              <w:pStyle w:val="TableContents"/>
              <w:bidi w:val="0"/>
              <w:spacing w:before="0" w:after="283"/>
              <w:jc w:val="left"/>
              <w:rPr>
                <w:sz w:val="20"/>
              </w:rPr>
            </w:pPr>
            <w:r>
              <w:rPr>
                <w:sz w:val="20"/>
              </w:rPr>
              <w:t>11.06</w:t>
            </w:r>
          </w:p>
        </w:tc>
        <w:tc>
          <w:tcPr>
            <w:tcW w:w="6215" w:type="dxa"/>
            <w:tcBorders/>
            <w:shd w:fill="C6F4F9" w:val="clear"/>
            <w:vAlign w:val="center"/>
          </w:tcPr>
          <w:p>
            <w:pPr>
              <w:pStyle w:val="TableContents"/>
              <w:bidi w:val="0"/>
              <w:spacing w:before="0" w:after="283"/>
              <w:jc w:val="left"/>
              <w:rPr>
                <w:sz w:val="20"/>
              </w:rPr>
            </w:pPr>
            <w:r>
              <w:rPr>
                <w:sz w:val="20"/>
              </w:rPr>
              <w:t>Successors and Assigns</w:t>
            </w:r>
          </w:p>
        </w:tc>
        <w:tc>
          <w:tcPr>
            <w:tcW w:w="665" w:type="dxa"/>
            <w:tcBorders/>
            <w:shd w:fill="C6F4F9" w:val="clear"/>
            <w:vAlign w:val="center"/>
          </w:tcPr>
          <w:p>
            <w:pPr>
              <w:pStyle w:val="TableContents"/>
              <w:bidi w:val="0"/>
              <w:spacing w:before="0" w:after="283"/>
              <w:jc w:val="right"/>
              <w:rPr/>
            </w:pPr>
            <w:r>
              <w:rPr>
                <w:strike/>
                <w:color w:val="FF0000"/>
                <w:sz w:val="20"/>
              </w:rPr>
              <w:t>150</w:t>
            </w:r>
            <w:r>
              <w:rPr>
                <w:color w:val="0000FF"/>
                <w:sz w:val="20"/>
                <w:u w:val="single"/>
              </w:rPr>
              <w:t>149</w:t>
            </w:r>
          </w:p>
        </w:tc>
      </w:tr>
      <w:tr>
        <w:trPr/>
        <w:tc>
          <w:tcPr>
            <w:tcW w:w="500" w:type="dxa"/>
            <w:tcBorders/>
            <w:shd w:fill="FFFFFF" w:val="clear"/>
            <w:vAlign w:val="center"/>
          </w:tcPr>
          <w:p>
            <w:pPr>
              <w:pStyle w:val="TableContents"/>
              <w:bidi w:val="0"/>
              <w:spacing w:before="0" w:after="283"/>
              <w:jc w:val="left"/>
              <w:rPr>
                <w:sz w:val="20"/>
              </w:rPr>
            </w:pPr>
            <w:r>
              <w:rPr>
                <w:sz w:val="20"/>
              </w:rPr>
              <w:t>11.07</w:t>
            </w:r>
          </w:p>
        </w:tc>
        <w:tc>
          <w:tcPr>
            <w:tcW w:w="6215" w:type="dxa"/>
            <w:tcBorders/>
            <w:shd w:fill="FFFFFF" w:val="clear"/>
            <w:vAlign w:val="center"/>
          </w:tcPr>
          <w:p>
            <w:pPr>
              <w:pStyle w:val="TableContents"/>
              <w:bidi w:val="0"/>
              <w:spacing w:before="0" w:after="283"/>
              <w:jc w:val="left"/>
              <w:rPr>
                <w:sz w:val="20"/>
              </w:rPr>
            </w:pPr>
            <w:r>
              <w:rPr>
                <w:sz w:val="20"/>
              </w:rPr>
              <w:t>Treatment of Certain Information; Confidentiality</w:t>
            </w:r>
          </w:p>
        </w:tc>
        <w:tc>
          <w:tcPr>
            <w:tcW w:w="665" w:type="dxa"/>
            <w:tcBorders/>
            <w:shd w:fill="FFFFFF" w:val="clear"/>
            <w:vAlign w:val="center"/>
          </w:tcPr>
          <w:p>
            <w:pPr>
              <w:pStyle w:val="TableContents"/>
              <w:bidi w:val="0"/>
              <w:spacing w:before="0" w:after="283"/>
              <w:jc w:val="right"/>
              <w:rPr/>
            </w:pPr>
            <w:r>
              <w:rPr>
                <w:strike/>
                <w:color w:val="FF0000"/>
                <w:sz w:val="20"/>
              </w:rPr>
              <w:t>155</w:t>
            </w:r>
            <w:r>
              <w:rPr>
                <w:color w:val="0000FF"/>
                <w:sz w:val="20"/>
                <w:u w:val="single"/>
              </w:rPr>
              <w:t>154</w:t>
            </w:r>
          </w:p>
        </w:tc>
      </w:tr>
      <w:tr>
        <w:trPr/>
        <w:tc>
          <w:tcPr>
            <w:tcW w:w="500" w:type="dxa"/>
            <w:tcBorders/>
            <w:shd w:fill="C6F4F9" w:val="clear"/>
            <w:vAlign w:val="center"/>
          </w:tcPr>
          <w:p>
            <w:pPr>
              <w:pStyle w:val="TableContents"/>
              <w:bidi w:val="0"/>
              <w:spacing w:before="0" w:after="283"/>
              <w:jc w:val="left"/>
              <w:rPr>
                <w:sz w:val="20"/>
              </w:rPr>
            </w:pPr>
            <w:r>
              <w:rPr>
                <w:sz w:val="20"/>
              </w:rPr>
              <w:t>11.08</w:t>
            </w:r>
          </w:p>
        </w:tc>
        <w:tc>
          <w:tcPr>
            <w:tcW w:w="6215" w:type="dxa"/>
            <w:tcBorders/>
            <w:shd w:fill="C6F4F9" w:val="clear"/>
            <w:vAlign w:val="center"/>
          </w:tcPr>
          <w:p>
            <w:pPr>
              <w:pStyle w:val="TableContents"/>
              <w:bidi w:val="0"/>
              <w:spacing w:before="0" w:after="283"/>
              <w:jc w:val="left"/>
              <w:rPr>
                <w:sz w:val="20"/>
              </w:rPr>
            </w:pPr>
            <w:r>
              <w:rPr>
                <w:sz w:val="20"/>
              </w:rPr>
              <w:t>Right of Setoff</w:t>
            </w:r>
          </w:p>
        </w:tc>
        <w:tc>
          <w:tcPr>
            <w:tcW w:w="665" w:type="dxa"/>
            <w:tcBorders/>
            <w:shd w:fill="C6F4F9" w:val="clear"/>
            <w:vAlign w:val="center"/>
          </w:tcPr>
          <w:p>
            <w:pPr>
              <w:pStyle w:val="TableContents"/>
              <w:bidi w:val="0"/>
              <w:spacing w:before="0" w:after="283"/>
              <w:jc w:val="right"/>
              <w:rPr/>
            </w:pPr>
            <w:r>
              <w:rPr>
                <w:strike/>
                <w:color w:val="FF0000"/>
                <w:sz w:val="20"/>
              </w:rPr>
              <w:t>156</w:t>
            </w:r>
            <w:r>
              <w:rPr>
                <w:color w:val="0000FF"/>
                <w:sz w:val="20"/>
                <w:u w:val="single"/>
              </w:rPr>
              <w:t>155</w:t>
            </w:r>
          </w:p>
        </w:tc>
      </w:tr>
      <w:tr>
        <w:trPr/>
        <w:tc>
          <w:tcPr>
            <w:tcW w:w="500" w:type="dxa"/>
            <w:tcBorders/>
            <w:shd w:fill="FFFFFF" w:val="clear"/>
            <w:vAlign w:val="center"/>
          </w:tcPr>
          <w:p>
            <w:pPr>
              <w:pStyle w:val="TableContents"/>
              <w:bidi w:val="0"/>
              <w:spacing w:before="0" w:after="283"/>
              <w:jc w:val="left"/>
              <w:rPr>
                <w:sz w:val="20"/>
              </w:rPr>
            </w:pPr>
            <w:r>
              <w:rPr>
                <w:sz w:val="20"/>
              </w:rPr>
              <w:t>11.09</w:t>
            </w:r>
          </w:p>
        </w:tc>
        <w:tc>
          <w:tcPr>
            <w:tcW w:w="6215" w:type="dxa"/>
            <w:tcBorders/>
            <w:shd w:fill="FFFFFF" w:val="clear"/>
            <w:vAlign w:val="center"/>
          </w:tcPr>
          <w:p>
            <w:pPr>
              <w:pStyle w:val="TableContents"/>
              <w:bidi w:val="0"/>
              <w:spacing w:before="0" w:after="283"/>
              <w:jc w:val="left"/>
              <w:rPr>
                <w:sz w:val="20"/>
              </w:rPr>
            </w:pPr>
            <w:r>
              <w:rPr>
                <w:sz w:val="20"/>
              </w:rPr>
              <w:t>Interest Rate Limitation</w:t>
            </w:r>
          </w:p>
        </w:tc>
        <w:tc>
          <w:tcPr>
            <w:tcW w:w="665" w:type="dxa"/>
            <w:tcBorders/>
            <w:shd w:fill="FFFFFF" w:val="clear"/>
            <w:vAlign w:val="center"/>
          </w:tcPr>
          <w:p>
            <w:pPr>
              <w:pStyle w:val="TableContents"/>
              <w:bidi w:val="0"/>
              <w:spacing w:before="0" w:after="283"/>
              <w:jc w:val="right"/>
              <w:rPr>
                <w:sz w:val="20"/>
              </w:rPr>
            </w:pPr>
            <w:r>
              <w:rPr>
                <w:sz w:val="20"/>
              </w:rPr>
              <w:t>156</w:t>
            </w:r>
          </w:p>
        </w:tc>
      </w:tr>
      <w:tr>
        <w:trPr/>
        <w:tc>
          <w:tcPr>
            <w:tcW w:w="500" w:type="dxa"/>
            <w:tcBorders/>
            <w:shd w:fill="C6F4F9" w:val="clear"/>
            <w:vAlign w:val="center"/>
          </w:tcPr>
          <w:p>
            <w:pPr>
              <w:pStyle w:val="TableContents"/>
              <w:bidi w:val="0"/>
              <w:spacing w:before="0" w:after="283"/>
              <w:jc w:val="left"/>
              <w:rPr>
                <w:sz w:val="20"/>
              </w:rPr>
            </w:pPr>
            <w:r>
              <w:rPr>
                <w:sz w:val="20"/>
              </w:rPr>
              <w:t>11.10</w:t>
            </w:r>
          </w:p>
        </w:tc>
        <w:tc>
          <w:tcPr>
            <w:tcW w:w="6215" w:type="dxa"/>
            <w:tcBorders/>
            <w:shd w:fill="C6F4F9" w:val="clear"/>
            <w:vAlign w:val="center"/>
          </w:tcPr>
          <w:p>
            <w:pPr>
              <w:pStyle w:val="TableContents"/>
              <w:bidi w:val="0"/>
              <w:spacing w:before="0" w:after="283"/>
              <w:jc w:val="left"/>
              <w:rPr/>
            </w:pPr>
            <w:r>
              <w:rPr>
                <w:strike/>
                <w:color w:val="FF0000"/>
                <w:sz w:val="20"/>
              </w:rPr>
              <w:t xml:space="preserve">Counterparts; </w:t>
            </w:r>
            <w:r>
              <w:rPr>
                <w:sz w:val="20"/>
              </w:rPr>
              <w:t>Integration; Effectiveness</w:t>
            </w:r>
          </w:p>
        </w:tc>
        <w:tc>
          <w:tcPr>
            <w:tcW w:w="665" w:type="dxa"/>
            <w:tcBorders/>
            <w:shd w:fill="C6F4F9" w:val="clear"/>
            <w:vAlign w:val="center"/>
          </w:tcPr>
          <w:p>
            <w:pPr>
              <w:pStyle w:val="TableContents"/>
              <w:bidi w:val="0"/>
              <w:spacing w:before="0" w:after="283"/>
              <w:jc w:val="right"/>
              <w:rPr/>
            </w:pPr>
            <w:r>
              <w:rPr>
                <w:strike/>
                <w:color w:val="FF0000"/>
                <w:sz w:val="20"/>
              </w:rPr>
              <w:t>157</w:t>
            </w:r>
            <w:r>
              <w:rPr>
                <w:color w:val="0000FF"/>
                <w:sz w:val="20"/>
                <w:u w:val="single"/>
              </w:rPr>
              <w:t>156</w:t>
            </w:r>
          </w:p>
        </w:tc>
      </w:tr>
      <w:tr>
        <w:trPr/>
        <w:tc>
          <w:tcPr>
            <w:tcW w:w="500" w:type="dxa"/>
            <w:tcBorders/>
            <w:shd w:fill="FFFFFF" w:val="clear"/>
            <w:vAlign w:val="center"/>
          </w:tcPr>
          <w:p>
            <w:pPr>
              <w:pStyle w:val="TableContents"/>
              <w:bidi w:val="0"/>
              <w:spacing w:before="0" w:after="283"/>
              <w:jc w:val="left"/>
              <w:rPr>
                <w:sz w:val="20"/>
              </w:rPr>
            </w:pPr>
            <w:r>
              <w:rPr>
                <w:sz w:val="20"/>
              </w:rPr>
              <w:t>11.11</w:t>
            </w:r>
          </w:p>
        </w:tc>
        <w:tc>
          <w:tcPr>
            <w:tcW w:w="6215" w:type="dxa"/>
            <w:tcBorders/>
            <w:shd w:fill="FFFFFF" w:val="clear"/>
            <w:vAlign w:val="center"/>
          </w:tcPr>
          <w:p>
            <w:pPr>
              <w:pStyle w:val="TableContents"/>
              <w:bidi w:val="0"/>
              <w:spacing w:before="0" w:after="283"/>
              <w:jc w:val="left"/>
              <w:rPr>
                <w:sz w:val="20"/>
              </w:rPr>
            </w:pPr>
            <w:r>
              <w:rPr>
                <w:sz w:val="20"/>
              </w:rPr>
              <w:t>Survival of Representations and Warranties</w:t>
            </w:r>
          </w:p>
        </w:tc>
        <w:tc>
          <w:tcPr>
            <w:tcW w:w="665" w:type="dxa"/>
            <w:tcBorders/>
            <w:shd w:fill="FFFFFF" w:val="clear"/>
            <w:vAlign w:val="center"/>
          </w:tcPr>
          <w:p>
            <w:pPr>
              <w:pStyle w:val="TableContents"/>
              <w:bidi w:val="0"/>
              <w:spacing w:before="0" w:after="283"/>
              <w:jc w:val="right"/>
              <w:rPr/>
            </w:pPr>
            <w:r>
              <w:rPr>
                <w:strike/>
                <w:color w:val="FF0000"/>
                <w:sz w:val="20"/>
              </w:rPr>
              <w:t>157</w:t>
            </w:r>
            <w:r>
              <w:rPr>
                <w:color w:val="0000FF"/>
                <w:sz w:val="20"/>
                <w:u w:val="single"/>
              </w:rPr>
              <w:t>156</w:t>
            </w:r>
          </w:p>
        </w:tc>
      </w:tr>
      <w:tr>
        <w:trPr/>
        <w:tc>
          <w:tcPr>
            <w:tcW w:w="500" w:type="dxa"/>
            <w:tcBorders/>
            <w:shd w:fill="C6F4F9" w:val="clear"/>
            <w:vAlign w:val="center"/>
          </w:tcPr>
          <w:p>
            <w:pPr>
              <w:pStyle w:val="TableContents"/>
              <w:bidi w:val="0"/>
              <w:spacing w:before="0" w:after="283"/>
              <w:jc w:val="left"/>
              <w:rPr>
                <w:sz w:val="20"/>
              </w:rPr>
            </w:pPr>
            <w:r>
              <w:rPr>
                <w:sz w:val="20"/>
              </w:rPr>
              <w:t>11.12</w:t>
            </w:r>
          </w:p>
        </w:tc>
        <w:tc>
          <w:tcPr>
            <w:tcW w:w="6215" w:type="dxa"/>
            <w:tcBorders/>
            <w:shd w:fill="C6F4F9" w:val="clear"/>
            <w:vAlign w:val="center"/>
          </w:tcPr>
          <w:p>
            <w:pPr>
              <w:pStyle w:val="TableContents"/>
              <w:bidi w:val="0"/>
              <w:spacing w:before="0" w:after="283"/>
              <w:jc w:val="left"/>
              <w:rPr>
                <w:sz w:val="20"/>
              </w:rPr>
            </w:pPr>
            <w:r>
              <w:rPr>
                <w:sz w:val="20"/>
              </w:rPr>
              <w:t>Severability</w:t>
            </w:r>
          </w:p>
        </w:tc>
        <w:tc>
          <w:tcPr>
            <w:tcW w:w="665" w:type="dxa"/>
            <w:tcBorders/>
            <w:shd w:fill="C6F4F9" w:val="clear"/>
            <w:vAlign w:val="center"/>
          </w:tcPr>
          <w:p>
            <w:pPr>
              <w:pStyle w:val="TableContents"/>
              <w:bidi w:val="0"/>
              <w:spacing w:before="0" w:after="283"/>
              <w:jc w:val="right"/>
              <w:rPr/>
            </w:pPr>
            <w:r>
              <w:rPr>
                <w:strike/>
                <w:color w:val="FF0000"/>
                <w:sz w:val="20"/>
              </w:rPr>
              <w:t>157</w:t>
            </w:r>
            <w:r>
              <w:rPr>
                <w:color w:val="0000FF"/>
                <w:sz w:val="20"/>
                <w:u w:val="single"/>
              </w:rPr>
              <w:t>156</w:t>
            </w:r>
          </w:p>
        </w:tc>
      </w:tr>
      <w:tr>
        <w:trPr/>
        <w:tc>
          <w:tcPr>
            <w:tcW w:w="500" w:type="dxa"/>
            <w:tcBorders/>
            <w:shd w:fill="FFFFFF" w:val="clear"/>
            <w:vAlign w:val="center"/>
          </w:tcPr>
          <w:p>
            <w:pPr>
              <w:pStyle w:val="TableContents"/>
              <w:bidi w:val="0"/>
              <w:spacing w:before="0" w:after="283"/>
              <w:jc w:val="left"/>
              <w:rPr>
                <w:sz w:val="20"/>
              </w:rPr>
            </w:pPr>
            <w:r>
              <w:rPr>
                <w:sz w:val="20"/>
              </w:rPr>
              <w:t>11.13</w:t>
            </w:r>
          </w:p>
        </w:tc>
        <w:tc>
          <w:tcPr>
            <w:tcW w:w="6215" w:type="dxa"/>
            <w:tcBorders/>
            <w:shd w:fill="FFFFFF" w:val="clear"/>
            <w:vAlign w:val="center"/>
          </w:tcPr>
          <w:p>
            <w:pPr>
              <w:pStyle w:val="TableContents"/>
              <w:bidi w:val="0"/>
              <w:spacing w:before="0" w:after="283"/>
              <w:jc w:val="left"/>
              <w:rPr>
                <w:sz w:val="20"/>
              </w:rPr>
            </w:pPr>
            <w:r>
              <w:rPr>
                <w:sz w:val="20"/>
              </w:rPr>
              <w:t>Replacement of Lenders</w:t>
            </w:r>
          </w:p>
        </w:tc>
        <w:tc>
          <w:tcPr>
            <w:tcW w:w="665" w:type="dxa"/>
            <w:tcBorders/>
            <w:shd w:fill="FFFFFF" w:val="clear"/>
            <w:vAlign w:val="center"/>
          </w:tcPr>
          <w:p>
            <w:pPr>
              <w:pStyle w:val="TableContents"/>
              <w:bidi w:val="0"/>
              <w:spacing w:before="0" w:after="283"/>
              <w:jc w:val="right"/>
              <w:rPr>
                <w:sz w:val="20"/>
              </w:rPr>
            </w:pPr>
            <w:r>
              <w:rPr>
                <w:sz w:val="20"/>
              </w:rPr>
              <w:t>157</w:t>
            </w:r>
          </w:p>
        </w:tc>
      </w:tr>
      <w:tr>
        <w:trPr/>
        <w:tc>
          <w:tcPr>
            <w:tcW w:w="500" w:type="dxa"/>
            <w:tcBorders/>
            <w:shd w:fill="C6F4F9" w:val="clear"/>
            <w:vAlign w:val="center"/>
          </w:tcPr>
          <w:p>
            <w:pPr>
              <w:pStyle w:val="TableContents"/>
              <w:bidi w:val="0"/>
              <w:spacing w:before="0" w:after="283"/>
              <w:jc w:val="left"/>
              <w:rPr>
                <w:sz w:val="20"/>
              </w:rPr>
            </w:pPr>
            <w:r>
              <w:rPr>
                <w:sz w:val="20"/>
              </w:rPr>
              <w:t>11.14</w:t>
            </w:r>
          </w:p>
        </w:tc>
        <w:tc>
          <w:tcPr>
            <w:tcW w:w="6215" w:type="dxa"/>
            <w:tcBorders/>
            <w:shd w:fill="C6F4F9" w:val="clear"/>
            <w:vAlign w:val="center"/>
          </w:tcPr>
          <w:p>
            <w:pPr>
              <w:pStyle w:val="TableContents"/>
              <w:bidi w:val="0"/>
              <w:spacing w:before="0" w:after="283"/>
              <w:jc w:val="left"/>
              <w:rPr>
                <w:sz w:val="20"/>
              </w:rPr>
            </w:pPr>
            <w:r>
              <w:rPr>
                <w:sz w:val="20"/>
              </w:rPr>
              <w:t>Governing Law; Jurisdiction; Etc</w:t>
            </w:r>
          </w:p>
        </w:tc>
        <w:tc>
          <w:tcPr>
            <w:tcW w:w="665" w:type="dxa"/>
            <w:tcBorders/>
            <w:shd w:fill="C6F4F9" w:val="clear"/>
            <w:vAlign w:val="center"/>
          </w:tcPr>
          <w:p>
            <w:pPr>
              <w:pStyle w:val="TableContents"/>
              <w:bidi w:val="0"/>
              <w:spacing w:before="0" w:after="283"/>
              <w:jc w:val="right"/>
              <w:rPr/>
            </w:pPr>
            <w:r>
              <w:rPr>
                <w:strike/>
                <w:color w:val="FF0000"/>
                <w:sz w:val="20"/>
              </w:rPr>
              <w:t>159</w:t>
            </w:r>
            <w:r>
              <w:rPr>
                <w:color w:val="0000FF"/>
                <w:sz w:val="20"/>
                <w:u w:val="single"/>
              </w:rPr>
              <w:t>158</w:t>
            </w:r>
          </w:p>
        </w:tc>
      </w:tr>
      <w:tr>
        <w:trPr/>
        <w:tc>
          <w:tcPr>
            <w:tcW w:w="500" w:type="dxa"/>
            <w:tcBorders/>
            <w:shd w:fill="FFFFFF" w:val="clear"/>
            <w:vAlign w:val="center"/>
          </w:tcPr>
          <w:p>
            <w:pPr>
              <w:pStyle w:val="TableContents"/>
              <w:bidi w:val="0"/>
              <w:spacing w:before="0" w:after="283"/>
              <w:jc w:val="left"/>
              <w:rPr>
                <w:sz w:val="20"/>
              </w:rPr>
            </w:pPr>
            <w:r>
              <w:rPr>
                <w:sz w:val="20"/>
              </w:rPr>
              <w:t>11.15</w:t>
            </w:r>
          </w:p>
        </w:tc>
        <w:tc>
          <w:tcPr>
            <w:tcW w:w="6215" w:type="dxa"/>
            <w:tcBorders/>
            <w:shd w:fill="FFFFFF" w:val="clear"/>
            <w:vAlign w:val="center"/>
          </w:tcPr>
          <w:p>
            <w:pPr>
              <w:pStyle w:val="TableContents"/>
              <w:bidi w:val="0"/>
              <w:spacing w:before="0" w:after="283"/>
              <w:jc w:val="left"/>
              <w:rPr>
                <w:sz w:val="20"/>
              </w:rPr>
            </w:pPr>
            <w:r>
              <w:rPr>
                <w:sz w:val="20"/>
              </w:rPr>
              <w:t>Waiver of Jury Trial</w:t>
            </w:r>
          </w:p>
        </w:tc>
        <w:tc>
          <w:tcPr>
            <w:tcW w:w="665" w:type="dxa"/>
            <w:tcBorders/>
            <w:shd w:fill="FFFFFF" w:val="clear"/>
            <w:vAlign w:val="center"/>
          </w:tcPr>
          <w:p>
            <w:pPr>
              <w:pStyle w:val="TableContents"/>
              <w:bidi w:val="0"/>
              <w:spacing w:before="0" w:after="283"/>
              <w:jc w:val="right"/>
              <w:rPr/>
            </w:pPr>
            <w:r>
              <w:rPr>
                <w:strike/>
                <w:color w:val="FF0000"/>
                <w:sz w:val="20"/>
              </w:rPr>
              <w:t>160</w:t>
            </w:r>
            <w:r>
              <w:rPr>
                <w:color w:val="0000FF"/>
                <w:sz w:val="20"/>
                <w:u w:val="single"/>
              </w:rPr>
              <w:t>159</w:t>
            </w:r>
          </w:p>
        </w:tc>
      </w:tr>
      <w:tr>
        <w:trPr/>
        <w:tc>
          <w:tcPr>
            <w:tcW w:w="500" w:type="dxa"/>
            <w:tcBorders/>
            <w:shd w:fill="C6F4F9" w:val="clear"/>
            <w:vAlign w:val="center"/>
          </w:tcPr>
          <w:p>
            <w:pPr>
              <w:pStyle w:val="TableContents"/>
              <w:bidi w:val="0"/>
              <w:spacing w:before="0" w:after="283"/>
              <w:jc w:val="left"/>
              <w:rPr>
                <w:sz w:val="20"/>
              </w:rPr>
            </w:pPr>
            <w:r>
              <w:rPr>
                <w:sz w:val="20"/>
              </w:rPr>
              <w:t>11.16</w:t>
            </w:r>
          </w:p>
        </w:tc>
        <w:tc>
          <w:tcPr>
            <w:tcW w:w="6215" w:type="dxa"/>
            <w:tcBorders/>
            <w:shd w:fill="C6F4F9" w:val="clear"/>
            <w:vAlign w:val="center"/>
          </w:tcPr>
          <w:p>
            <w:pPr>
              <w:pStyle w:val="TableContents"/>
              <w:bidi w:val="0"/>
              <w:spacing w:before="0" w:after="283"/>
              <w:jc w:val="left"/>
              <w:rPr>
                <w:sz w:val="20"/>
              </w:rPr>
            </w:pPr>
            <w:r>
              <w:rPr>
                <w:sz w:val="20"/>
              </w:rPr>
              <w:t>Subordination</w:t>
            </w:r>
          </w:p>
        </w:tc>
        <w:tc>
          <w:tcPr>
            <w:tcW w:w="665" w:type="dxa"/>
            <w:tcBorders/>
            <w:shd w:fill="C6F4F9" w:val="clear"/>
            <w:vAlign w:val="center"/>
          </w:tcPr>
          <w:p>
            <w:pPr>
              <w:pStyle w:val="TableContents"/>
              <w:bidi w:val="0"/>
              <w:spacing w:before="0" w:after="283"/>
              <w:jc w:val="right"/>
              <w:rPr/>
            </w:pPr>
            <w:r>
              <w:rPr>
                <w:strike/>
                <w:color w:val="FF0000"/>
                <w:sz w:val="20"/>
              </w:rPr>
              <w:t>160</w:t>
            </w:r>
            <w:r>
              <w:rPr>
                <w:color w:val="0000FF"/>
                <w:sz w:val="20"/>
                <w:u w:val="single"/>
              </w:rPr>
              <w:t>159</w:t>
            </w:r>
          </w:p>
        </w:tc>
      </w:tr>
      <w:tr>
        <w:trPr/>
        <w:tc>
          <w:tcPr>
            <w:tcW w:w="500" w:type="dxa"/>
            <w:tcBorders/>
            <w:shd w:fill="FFFFFF" w:val="clear"/>
            <w:vAlign w:val="center"/>
          </w:tcPr>
          <w:p>
            <w:pPr>
              <w:pStyle w:val="TableContents"/>
              <w:bidi w:val="0"/>
              <w:spacing w:before="0" w:after="283"/>
              <w:jc w:val="left"/>
              <w:rPr>
                <w:sz w:val="20"/>
              </w:rPr>
            </w:pPr>
            <w:r>
              <w:rPr>
                <w:sz w:val="20"/>
              </w:rPr>
              <w:t>11.17</w:t>
            </w:r>
          </w:p>
        </w:tc>
        <w:tc>
          <w:tcPr>
            <w:tcW w:w="6215" w:type="dxa"/>
            <w:tcBorders/>
            <w:shd w:fill="FFFFFF" w:val="clear"/>
            <w:vAlign w:val="center"/>
          </w:tcPr>
          <w:p>
            <w:pPr>
              <w:pStyle w:val="TableContents"/>
              <w:bidi w:val="0"/>
              <w:spacing w:before="0" w:after="283"/>
              <w:jc w:val="left"/>
              <w:rPr>
                <w:sz w:val="20"/>
              </w:rPr>
            </w:pPr>
            <w:r>
              <w:rPr>
                <w:sz w:val="20"/>
              </w:rPr>
              <w:t>No Advisory or Fiduciary Responsibility</w:t>
            </w:r>
          </w:p>
        </w:tc>
        <w:tc>
          <w:tcPr>
            <w:tcW w:w="665" w:type="dxa"/>
            <w:tcBorders/>
            <w:shd w:fill="FFFFFF" w:val="clear"/>
            <w:vAlign w:val="center"/>
          </w:tcPr>
          <w:p>
            <w:pPr>
              <w:pStyle w:val="TableContents"/>
              <w:bidi w:val="0"/>
              <w:spacing w:before="0" w:after="283"/>
              <w:jc w:val="right"/>
              <w:rPr>
                <w:sz w:val="20"/>
              </w:rPr>
            </w:pPr>
            <w:r>
              <w:rPr>
                <w:sz w:val="20"/>
              </w:rPr>
              <w:t>160</w:t>
            </w:r>
          </w:p>
        </w:tc>
      </w:tr>
      <w:tr>
        <w:trPr/>
        <w:tc>
          <w:tcPr>
            <w:tcW w:w="500" w:type="dxa"/>
            <w:tcBorders/>
            <w:shd w:fill="C6F4F9" w:val="clear"/>
            <w:vAlign w:val="center"/>
          </w:tcPr>
          <w:p>
            <w:pPr>
              <w:pStyle w:val="TableContents"/>
              <w:bidi w:val="0"/>
              <w:spacing w:before="0" w:after="283"/>
              <w:jc w:val="left"/>
              <w:rPr>
                <w:sz w:val="20"/>
              </w:rPr>
            </w:pPr>
            <w:r>
              <w:rPr>
                <w:sz w:val="20"/>
              </w:rPr>
              <w:t>11.18</w:t>
            </w:r>
          </w:p>
        </w:tc>
        <w:tc>
          <w:tcPr>
            <w:tcW w:w="6215" w:type="dxa"/>
            <w:tcBorders/>
            <w:shd w:fill="C6F4F9" w:val="clear"/>
            <w:vAlign w:val="center"/>
          </w:tcPr>
          <w:p>
            <w:pPr>
              <w:pStyle w:val="TableContents"/>
              <w:bidi w:val="0"/>
              <w:spacing w:before="0" w:after="283"/>
              <w:jc w:val="left"/>
              <w:rPr>
                <w:sz w:val="20"/>
              </w:rPr>
            </w:pPr>
            <w:r>
              <w:rPr>
                <w:sz w:val="20"/>
              </w:rPr>
              <w:t>Electronic Execution; Electronic Records; Counterparts</w:t>
            </w:r>
          </w:p>
        </w:tc>
        <w:tc>
          <w:tcPr>
            <w:tcW w:w="665" w:type="dxa"/>
            <w:tcBorders/>
            <w:shd w:fill="C6F4F9" w:val="clear"/>
            <w:vAlign w:val="center"/>
          </w:tcPr>
          <w:p>
            <w:pPr>
              <w:pStyle w:val="TableContents"/>
              <w:bidi w:val="0"/>
              <w:spacing w:before="0" w:after="283"/>
              <w:jc w:val="right"/>
              <w:rPr/>
            </w:pPr>
            <w:r>
              <w:rPr>
                <w:strike/>
                <w:color w:val="FF0000"/>
                <w:sz w:val="20"/>
              </w:rPr>
              <w:t>161</w:t>
            </w:r>
            <w:r>
              <w:rPr>
                <w:color w:val="0000FF"/>
                <w:sz w:val="20"/>
                <w:u w:val="single"/>
              </w:rPr>
              <w:t>160</w:t>
            </w:r>
          </w:p>
        </w:tc>
      </w:tr>
      <w:tr>
        <w:trPr/>
        <w:tc>
          <w:tcPr>
            <w:tcW w:w="500" w:type="dxa"/>
            <w:tcBorders/>
            <w:shd w:fill="FFFFFF" w:val="clear"/>
            <w:vAlign w:val="center"/>
          </w:tcPr>
          <w:p>
            <w:pPr>
              <w:pStyle w:val="TableContents"/>
              <w:bidi w:val="0"/>
              <w:spacing w:before="0" w:after="283"/>
              <w:jc w:val="left"/>
              <w:rPr>
                <w:sz w:val="20"/>
              </w:rPr>
            </w:pPr>
            <w:r>
              <w:rPr>
                <w:sz w:val="20"/>
              </w:rPr>
              <w:t>11.19</w:t>
            </w:r>
          </w:p>
        </w:tc>
        <w:tc>
          <w:tcPr>
            <w:tcW w:w="6215" w:type="dxa"/>
            <w:tcBorders/>
            <w:shd w:fill="FFFFFF" w:val="clear"/>
            <w:vAlign w:val="center"/>
          </w:tcPr>
          <w:p>
            <w:pPr>
              <w:pStyle w:val="TableContents"/>
              <w:bidi w:val="0"/>
              <w:spacing w:before="0" w:after="283"/>
              <w:jc w:val="left"/>
              <w:rPr>
                <w:sz w:val="20"/>
              </w:rPr>
            </w:pPr>
            <w:r>
              <w:rPr>
                <w:sz w:val="20"/>
              </w:rPr>
              <w:t>USA PATRIOT Act Notice</w:t>
            </w:r>
          </w:p>
        </w:tc>
        <w:tc>
          <w:tcPr>
            <w:tcW w:w="665" w:type="dxa"/>
            <w:tcBorders/>
            <w:shd w:fill="FFFFFF" w:val="clear"/>
            <w:vAlign w:val="center"/>
          </w:tcPr>
          <w:p>
            <w:pPr>
              <w:pStyle w:val="TableContents"/>
              <w:bidi w:val="0"/>
              <w:spacing w:before="0" w:after="283"/>
              <w:jc w:val="right"/>
              <w:rPr/>
            </w:pPr>
            <w:r>
              <w:rPr>
                <w:strike/>
                <w:color w:val="FF0000"/>
                <w:sz w:val="20"/>
              </w:rPr>
              <w:t>162</w:t>
            </w:r>
            <w:r>
              <w:rPr>
                <w:color w:val="0000FF"/>
                <w:sz w:val="20"/>
                <w:u w:val="single"/>
              </w:rPr>
              <w:t>161</w:t>
            </w:r>
          </w:p>
        </w:tc>
      </w:tr>
      <w:tr>
        <w:trPr/>
        <w:tc>
          <w:tcPr>
            <w:tcW w:w="500" w:type="dxa"/>
            <w:tcBorders/>
            <w:shd w:fill="C6F4F9" w:val="clear"/>
            <w:vAlign w:val="center"/>
          </w:tcPr>
          <w:p>
            <w:pPr>
              <w:pStyle w:val="TableContents"/>
              <w:bidi w:val="0"/>
              <w:spacing w:before="0" w:after="283"/>
              <w:jc w:val="left"/>
              <w:rPr>
                <w:sz w:val="20"/>
              </w:rPr>
            </w:pPr>
            <w:r>
              <w:rPr>
                <w:sz w:val="20"/>
              </w:rPr>
              <w:t>11.20</w:t>
            </w:r>
          </w:p>
        </w:tc>
        <w:tc>
          <w:tcPr>
            <w:tcW w:w="6215" w:type="dxa"/>
            <w:tcBorders/>
            <w:shd w:fill="C6F4F9" w:val="clear"/>
            <w:vAlign w:val="center"/>
          </w:tcPr>
          <w:p>
            <w:pPr>
              <w:pStyle w:val="TableContents"/>
              <w:bidi w:val="0"/>
              <w:spacing w:before="0" w:after="283"/>
              <w:jc w:val="left"/>
              <w:rPr>
                <w:sz w:val="20"/>
              </w:rPr>
            </w:pPr>
            <w:r>
              <w:rPr>
                <w:sz w:val="20"/>
              </w:rPr>
              <w:t>Time of the Essence</w:t>
            </w:r>
          </w:p>
        </w:tc>
        <w:tc>
          <w:tcPr>
            <w:tcW w:w="665" w:type="dxa"/>
            <w:tcBorders/>
            <w:shd w:fill="C6F4F9" w:val="clear"/>
            <w:vAlign w:val="center"/>
          </w:tcPr>
          <w:p>
            <w:pPr>
              <w:pStyle w:val="TableContents"/>
              <w:bidi w:val="0"/>
              <w:spacing w:before="0" w:after="283"/>
              <w:jc w:val="right"/>
              <w:rPr/>
            </w:pPr>
            <w:r>
              <w:rPr>
                <w:strike/>
                <w:color w:val="FF0000"/>
                <w:sz w:val="20"/>
              </w:rPr>
              <w:t>162</w:t>
            </w:r>
            <w:r>
              <w:rPr>
                <w:color w:val="0000FF"/>
                <w:sz w:val="20"/>
                <w:u w:val="single"/>
              </w:rPr>
              <w:t>161</w:t>
            </w:r>
          </w:p>
        </w:tc>
      </w:tr>
      <w:tr>
        <w:trPr/>
        <w:tc>
          <w:tcPr>
            <w:tcW w:w="500" w:type="dxa"/>
            <w:tcBorders/>
            <w:shd w:fill="FFFFFF" w:val="clear"/>
            <w:vAlign w:val="center"/>
          </w:tcPr>
          <w:p>
            <w:pPr>
              <w:pStyle w:val="TableContents"/>
              <w:bidi w:val="0"/>
              <w:spacing w:before="0" w:after="283"/>
              <w:jc w:val="left"/>
              <w:rPr>
                <w:sz w:val="20"/>
              </w:rPr>
            </w:pPr>
            <w:r>
              <w:rPr>
                <w:sz w:val="20"/>
              </w:rPr>
              <w:t>11.21</w:t>
            </w:r>
          </w:p>
        </w:tc>
        <w:tc>
          <w:tcPr>
            <w:tcW w:w="6215" w:type="dxa"/>
            <w:tcBorders/>
            <w:shd w:fill="FFFFFF" w:val="clear"/>
            <w:vAlign w:val="center"/>
          </w:tcPr>
          <w:p>
            <w:pPr>
              <w:pStyle w:val="TableContents"/>
              <w:bidi w:val="0"/>
              <w:spacing w:before="0" w:after="283"/>
              <w:jc w:val="left"/>
              <w:rPr>
                <w:sz w:val="20"/>
              </w:rPr>
            </w:pPr>
            <w:r>
              <w:rPr>
                <w:sz w:val="20"/>
              </w:rPr>
              <w:t>Entire Agreement</w:t>
            </w:r>
          </w:p>
        </w:tc>
        <w:tc>
          <w:tcPr>
            <w:tcW w:w="665" w:type="dxa"/>
            <w:tcBorders/>
            <w:shd w:fill="FFFFFF" w:val="clear"/>
            <w:vAlign w:val="center"/>
          </w:tcPr>
          <w:p>
            <w:pPr>
              <w:pStyle w:val="TableContents"/>
              <w:bidi w:val="0"/>
              <w:spacing w:before="0" w:after="283"/>
              <w:jc w:val="right"/>
              <w:rPr>
                <w:sz w:val="20"/>
              </w:rPr>
            </w:pPr>
            <w:r>
              <w:rPr>
                <w:sz w:val="20"/>
              </w:rPr>
              <w:t>162</w:t>
            </w:r>
          </w:p>
        </w:tc>
      </w:tr>
      <w:tr>
        <w:trPr/>
        <w:tc>
          <w:tcPr>
            <w:tcW w:w="500" w:type="dxa"/>
            <w:tcBorders/>
            <w:shd w:fill="C6F4F9" w:val="clear"/>
            <w:vAlign w:val="center"/>
          </w:tcPr>
          <w:p>
            <w:pPr>
              <w:pStyle w:val="TableContents"/>
              <w:bidi w:val="0"/>
              <w:spacing w:before="0" w:after="283"/>
              <w:jc w:val="left"/>
              <w:rPr>
                <w:sz w:val="20"/>
              </w:rPr>
            </w:pPr>
            <w:r>
              <w:rPr>
                <w:sz w:val="20"/>
              </w:rPr>
              <w:t>11.22</w:t>
            </w:r>
          </w:p>
        </w:tc>
        <w:tc>
          <w:tcPr>
            <w:tcW w:w="6215" w:type="dxa"/>
            <w:tcBorders/>
            <w:shd w:fill="C6F4F9" w:val="clear"/>
            <w:vAlign w:val="center"/>
          </w:tcPr>
          <w:p>
            <w:pPr>
              <w:pStyle w:val="TableContents"/>
              <w:bidi w:val="0"/>
              <w:spacing w:before="0" w:after="283"/>
              <w:jc w:val="left"/>
              <w:rPr>
                <w:sz w:val="20"/>
              </w:rPr>
            </w:pPr>
            <w:r>
              <w:rPr>
                <w:sz w:val="20"/>
              </w:rPr>
              <w:t>Judgment Currency</w:t>
            </w:r>
          </w:p>
        </w:tc>
        <w:tc>
          <w:tcPr>
            <w:tcW w:w="665" w:type="dxa"/>
            <w:tcBorders/>
            <w:shd w:fill="C6F4F9" w:val="clear"/>
            <w:vAlign w:val="center"/>
          </w:tcPr>
          <w:p>
            <w:pPr>
              <w:pStyle w:val="TableContents"/>
              <w:bidi w:val="0"/>
              <w:spacing w:before="0" w:after="283"/>
              <w:jc w:val="right"/>
              <w:rPr>
                <w:sz w:val="20"/>
              </w:rPr>
            </w:pPr>
            <w:r>
              <w:rPr>
                <w:sz w:val="20"/>
              </w:rPr>
              <w:t>162</w:t>
            </w:r>
          </w:p>
        </w:tc>
      </w:tr>
      <w:tr>
        <w:trPr/>
        <w:tc>
          <w:tcPr>
            <w:tcW w:w="500" w:type="dxa"/>
            <w:tcBorders/>
            <w:shd w:fill="FFFFFF" w:val="clear"/>
            <w:vAlign w:val="center"/>
          </w:tcPr>
          <w:p>
            <w:pPr>
              <w:pStyle w:val="TableContents"/>
              <w:bidi w:val="0"/>
              <w:spacing w:before="0" w:after="283"/>
              <w:jc w:val="left"/>
              <w:rPr>
                <w:sz w:val="20"/>
              </w:rPr>
            </w:pPr>
            <w:r>
              <w:rPr>
                <w:sz w:val="20"/>
              </w:rPr>
              <w:t>11.23</w:t>
            </w:r>
          </w:p>
        </w:tc>
        <w:tc>
          <w:tcPr>
            <w:tcW w:w="6215" w:type="dxa"/>
            <w:tcBorders/>
            <w:shd w:fill="FFFFFF" w:val="clear"/>
            <w:vAlign w:val="center"/>
          </w:tcPr>
          <w:p>
            <w:pPr>
              <w:pStyle w:val="TableContents"/>
              <w:bidi w:val="0"/>
              <w:spacing w:before="0" w:after="283"/>
              <w:jc w:val="left"/>
              <w:rPr>
                <w:sz w:val="20"/>
              </w:rPr>
            </w:pPr>
            <w:r>
              <w:rPr>
                <w:sz w:val="20"/>
              </w:rPr>
              <w:t>Acknowledgement and Consent to Bail-In of Affected  Financial Institutions</w:t>
            </w:r>
          </w:p>
        </w:tc>
        <w:tc>
          <w:tcPr>
            <w:tcW w:w="665" w:type="dxa"/>
            <w:tcBorders/>
            <w:shd w:fill="FFFFFF" w:val="clear"/>
            <w:vAlign w:val="center"/>
          </w:tcPr>
          <w:p>
            <w:pPr>
              <w:pStyle w:val="TableContents"/>
              <w:bidi w:val="0"/>
              <w:spacing w:before="0" w:after="283"/>
              <w:jc w:val="right"/>
              <w:rPr/>
            </w:pPr>
            <w:r>
              <w:rPr>
                <w:strike/>
                <w:color w:val="FF0000"/>
                <w:sz w:val="20"/>
              </w:rPr>
              <w:t>163</w:t>
            </w:r>
            <w:r>
              <w:rPr>
                <w:color w:val="0000FF"/>
                <w:sz w:val="20"/>
                <w:u w:val="single"/>
              </w:rPr>
              <w:t>162</w:t>
            </w:r>
          </w:p>
        </w:tc>
      </w:tr>
      <w:tr>
        <w:trPr/>
        <w:tc>
          <w:tcPr>
            <w:tcW w:w="500" w:type="dxa"/>
            <w:tcBorders/>
            <w:shd w:fill="C6F4F9" w:val="clear"/>
            <w:vAlign w:val="center"/>
          </w:tcPr>
          <w:p>
            <w:pPr>
              <w:pStyle w:val="TableContents"/>
              <w:bidi w:val="0"/>
              <w:spacing w:before="0" w:after="283"/>
              <w:jc w:val="left"/>
              <w:rPr>
                <w:sz w:val="20"/>
              </w:rPr>
            </w:pPr>
            <w:r>
              <w:rPr>
                <w:sz w:val="20"/>
              </w:rPr>
              <w:t>11.24</w:t>
            </w:r>
          </w:p>
        </w:tc>
        <w:tc>
          <w:tcPr>
            <w:tcW w:w="6215" w:type="dxa"/>
            <w:tcBorders/>
            <w:shd w:fill="C6F4F9" w:val="clear"/>
            <w:vAlign w:val="center"/>
          </w:tcPr>
          <w:p>
            <w:pPr>
              <w:pStyle w:val="TableContents"/>
              <w:bidi w:val="0"/>
              <w:spacing w:before="0" w:after="283"/>
              <w:jc w:val="left"/>
              <w:rPr>
                <w:sz w:val="20"/>
              </w:rPr>
            </w:pPr>
            <w:r>
              <w:rPr>
                <w:sz w:val="20"/>
              </w:rPr>
              <w:t>Existing Credit Agreement Amended and Restated</w:t>
            </w:r>
          </w:p>
        </w:tc>
        <w:tc>
          <w:tcPr>
            <w:tcW w:w="665" w:type="dxa"/>
            <w:tcBorders/>
            <w:shd w:fill="C6F4F9" w:val="clear"/>
            <w:vAlign w:val="center"/>
          </w:tcPr>
          <w:p>
            <w:pPr>
              <w:pStyle w:val="TableContents"/>
              <w:bidi w:val="0"/>
              <w:spacing w:before="0" w:after="283"/>
              <w:jc w:val="right"/>
              <w:rPr>
                <w:sz w:val="20"/>
              </w:rPr>
            </w:pPr>
            <w:r>
              <w:rPr>
                <w:sz w:val="20"/>
              </w:rPr>
              <w:t>163</w:t>
            </w:r>
          </w:p>
        </w:tc>
      </w:tr>
      <w:tr>
        <w:trPr/>
        <w:tc>
          <w:tcPr>
            <w:tcW w:w="500" w:type="dxa"/>
            <w:tcBorders/>
            <w:shd w:fill="FFFFFF" w:val="clear"/>
            <w:vAlign w:val="center"/>
          </w:tcPr>
          <w:p>
            <w:pPr>
              <w:pStyle w:val="TableContents"/>
              <w:bidi w:val="0"/>
              <w:spacing w:before="0" w:after="283"/>
              <w:jc w:val="left"/>
              <w:rPr>
                <w:sz w:val="20"/>
              </w:rPr>
            </w:pPr>
            <w:r>
              <w:rPr>
                <w:sz w:val="20"/>
              </w:rPr>
              <w:t>11.25</w:t>
            </w:r>
          </w:p>
        </w:tc>
        <w:tc>
          <w:tcPr>
            <w:tcW w:w="6215" w:type="dxa"/>
            <w:tcBorders/>
            <w:shd w:fill="FFFFFF" w:val="clear"/>
            <w:vAlign w:val="center"/>
          </w:tcPr>
          <w:p>
            <w:pPr>
              <w:pStyle w:val="TableContents"/>
              <w:bidi w:val="0"/>
              <w:spacing w:before="0" w:after="283"/>
              <w:jc w:val="left"/>
              <w:rPr>
                <w:sz w:val="20"/>
              </w:rPr>
            </w:pPr>
            <w:r>
              <w:rPr>
                <w:sz w:val="20"/>
              </w:rPr>
              <w:t>Swiss Limitations</w:t>
            </w:r>
          </w:p>
        </w:tc>
        <w:tc>
          <w:tcPr>
            <w:tcW w:w="665" w:type="dxa"/>
            <w:tcBorders/>
            <w:shd w:fill="FFFFFF" w:val="clear"/>
            <w:vAlign w:val="center"/>
          </w:tcPr>
          <w:p>
            <w:pPr>
              <w:pStyle w:val="TableContents"/>
              <w:bidi w:val="0"/>
              <w:spacing w:before="0" w:after="283"/>
              <w:jc w:val="right"/>
              <w:rPr/>
            </w:pPr>
            <w:r>
              <w:rPr>
                <w:strike/>
                <w:color w:val="FF0000"/>
                <w:sz w:val="20"/>
              </w:rPr>
              <w:t>164</w:t>
            </w:r>
            <w:r>
              <w:rPr>
                <w:color w:val="0000FF"/>
                <w:sz w:val="20"/>
                <w:u w:val="single"/>
              </w:rPr>
              <w:t>163</w:t>
            </w:r>
          </w:p>
        </w:tc>
      </w:tr>
      <w:tr>
        <w:trPr/>
        <w:tc>
          <w:tcPr>
            <w:tcW w:w="500" w:type="dxa"/>
            <w:tcBorders/>
            <w:shd w:fill="C6F4F9" w:val="clear"/>
            <w:vAlign w:val="center"/>
          </w:tcPr>
          <w:p>
            <w:pPr>
              <w:pStyle w:val="TableContents"/>
              <w:bidi w:val="0"/>
              <w:spacing w:before="0" w:after="283"/>
              <w:jc w:val="left"/>
              <w:rPr>
                <w:sz w:val="20"/>
              </w:rPr>
            </w:pPr>
            <w:r>
              <w:rPr>
                <w:sz w:val="20"/>
              </w:rPr>
              <w:t>11.26</w:t>
            </w:r>
          </w:p>
        </w:tc>
        <w:tc>
          <w:tcPr>
            <w:tcW w:w="6215" w:type="dxa"/>
            <w:tcBorders/>
            <w:shd w:fill="C6F4F9" w:val="clear"/>
            <w:vAlign w:val="center"/>
          </w:tcPr>
          <w:p>
            <w:pPr>
              <w:pStyle w:val="TableContents"/>
              <w:bidi w:val="0"/>
              <w:spacing w:before="0" w:after="283"/>
              <w:jc w:val="left"/>
              <w:rPr>
                <w:sz w:val="20"/>
              </w:rPr>
            </w:pPr>
            <w:r>
              <w:rPr>
                <w:sz w:val="20"/>
              </w:rPr>
              <w:t>Acknowledgement Regarding Any Supported QFCs</w:t>
            </w:r>
          </w:p>
        </w:tc>
        <w:tc>
          <w:tcPr>
            <w:tcW w:w="665" w:type="dxa"/>
            <w:tcBorders/>
            <w:shd w:fill="C6F4F9" w:val="clear"/>
            <w:vAlign w:val="center"/>
          </w:tcPr>
          <w:p>
            <w:pPr>
              <w:pStyle w:val="TableContents"/>
              <w:bidi w:val="0"/>
              <w:spacing w:before="0" w:after="283"/>
              <w:jc w:val="right"/>
              <w:rPr>
                <w:sz w:val="20"/>
              </w:rPr>
            </w:pPr>
            <w:r>
              <w:rPr>
                <w:sz w:val="20"/>
              </w:rPr>
              <w:t>165</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PREPARED SCHEDULES</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700"/>
        <w:gridCol w:w="5825"/>
      </w:tblGrid>
      <w:tr>
        <w:trPr/>
        <w:tc>
          <w:tcPr>
            <w:tcW w:w="1700" w:type="dxa"/>
            <w:tcBorders/>
            <w:shd w:fill="C6F4F9" w:val="clear"/>
            <w:vAlign w:val="center"/>
          </w:tcPr>
          <w:p>
            <w:pPr>
              <w:pStyle w:val="TableContents"/>
              <w:bidi w:val="0"/>
              <w:spacing w:before="0" w:after="283"/>
              <w:jc w:val="both"/>
              <w:rPr>
                <w:sz w:val="20"/>
              </w:rPr>
            </w:pPr>
            <w:r>
              <w:rPr>
                <w:sz w:val="20"/>
              </w:rPr>
              <w:t>Schedule 1.01(c)</w:t>
            </w:r>
          </w:p>
        </w:tc>
        <w:tc>
          <w:tcPr>
            <w:tcW w:w="5825" w:type="dxa"/>
            <w:tcBorders/>
            <w:shd w:fill="C6F4F9" w:val="clear"/>
            <w:vAlign w:val="center"/>
          </w:tcPr>
          <w:p>
            <w:pPr>
              <w:pStyle w:val="TableContents"/>
              <w:bidi w:val="0"/>
              <w:spacing w:before="0" w:after="283"/>
              <w:jc w:val="both"/>
              <w:rPr>
                <w:sz w:val="20"/>
              </w:rPr>
            </w:pPr>
            <w:r>
              <w:rPr>
                <w:sz w:val="20"/>
              </w:rPr>
              <w:t>Responsible Officers</w:t>
            </w:r>
          </w:p>
        </w:tc>
      </w:tr>
      <w:tr>
        <w:trPr/>
        <w:tc>
          <w:tcPr>
            <w:tcW w:w="1700" w:type="dxa"/>
            <w:tcBorders/>
            <w:shd w:fill="FFFFFF" w:val="clear"/>
            <w:vAlign w:val="center"/>
          </w:tcPr>
          <w:p>
            <w:pPr>
              <w:pStyle w:val="TableContents"/>
              <w:bidi w:val="0"/>
              <w:spacing w:before="0" w:after="283"/>
              <w:jc w:val="both"/>
              <w:rPr>
                <w:sz w:val="20"/>
              </w:rPr>
            </w:pPr>
            <w:r>
              <w:rPr>
                <w:sz w:val="20"/>
              </w:rPr>
              <w:t>Schedule 2.03</w:t>
            </w:r>
          </w:p>
        </w:tc>
        <w:tc>
          <w:tcPr>
            <w:tcW w:w="5825" w:type="dxa"/>
            <w:tcBorders/>
            <w:shd w:fill="FFFFFF" w:val="clear"/>
            <w:vAlign w:val="center"/>
          </w:tcPr>
          <w:p>
            <w:pPr>
              <w:pStyle w:val="TableContents"/>
              <w:bidi w:val="0"/>
              <w:spacing w:before="0" w:after="283"/>
              <w:jc w:val="both"/>
              <w:rPr>
                <w:sz w:val="20"/>
              </w:rPr>
            </w:pPr>
            <w:r>
              <w:rPr>
                <w:sz w:val="20"/>
              </w:rPr>
              <w:t>Existing Letters of Credit</w:t>
            </w:r>
          </w:p>
        </w:tc>
      </w:tr>
      <w:tr>
        <w:trPr/>
        <w:tc>
          <w:tcPr>
            <w:tcW w:w="1700" w:type="dxa"/>
            <w:tcBorders/>
            <w:shd w:fill="C6F4F9" w:val="clear"/>
            <w:vAlign w:val="center"/>
          </w:tcPr>
          <w:p>
            <w:pPr>
              <w:pStyle w:val="TableContents"/>
              <w:bidi w:val="0"/>
              <w:spacing w:before="0" w:after="283"/>
              <w:jc w:val="both"/>
              <w:rPr>
                <w:sz w:val="20"/>
              </w:rPr>
            </w:pPr>
            <w:r>
              <w:rPr>
                <w:sz w:val="20"/>
              </w:rPr>
              <w:t>Schedule 5.10</w:t>
            </w:r>
          </w:p>
        </w:tc>
        <w:tc>
          <w:tcPr>
            <w:tcW w:w="5825" w:type="dxa"/>
            <w:tcBorders/>
            <w:shd w:fill="C6F4F9" w:val="clear"/>
            <w:vAlign w:val="center"/>
          </w:tcPr>
          <w:p>
            <w:pPr>
              <w:pStyle w:val="TableContents"/>
              <w:bidi w:val="0"/>
              <w:spacing w:before="0" w:after="283"/>
              <w:jc w:val="both"/>
              <w:rPr>
                <w:sz w:val="20"/>
              </w:rPr>
            </w:pPr>
            <w:r>
              <w:rPr>
                <w:sz w:val="20"/>
              </w:rPr>
              <w:t>Insurance</w:t>
            </w:r>
          </w:p>
        </w:tc>
      </w:tr>
      <w:tr>
        <w:trPr/>
        <w:tc>
          <w:tcPr>
            <w:tcW w:w="1700" w:type="dxa"/>
            <w:tcBorders/>
            <w:shd w:fill="FFFFFF" w:val="clear"/>
            <w:vAlign w:val="center"/>
          </w:tcPr>
          <w:p>
            <w:pPr>
              <w:pStyle w:val="TableContents"/>
              <w:bidi w:val="0"/>
              <w:spacing w:before="0" w:after="283"/>
              <w:jc w:val="both"/>
              <w:rPr>
                <w:sz w:val="20"/>
              </w:rPr>
            </w:pPr>
            <w:r>
              <w:rPr>
                <w:sz w:val="20"/>
              </w:rPr>
              <w:t>Schedule 5.12</w:t>
            </w:r>
          </w:p>
        </w:tc>
        <w:tc>
          <w:tcPr>
            <w:tcW w:w="5825" w:type="dxa"/>
            <w:tcBorders/>
            <w:shd w:fill="FFFFFF" w:val="clear"/>
            <w:vAlign w:val="center"/>
          </w:tcPr>
          <w:p>
            <w:pPr>
              <w:pStyle w:val="TableContents"/>
              <w:bidi w:val="0"/>
              <w:spacing w:before="0" w:after="283"/>
              <w:jc w:val="both"/>
              <w:rPr>
                <w:sz w:val="20"/>
              </w:rPr>
            </w:pPr>
            <w:r>
              <w:rPr>
                <w:sz w:val="20"/>
              </w:rPr>
              <w:t>Pension Plans</w:t>
            </w:r>
          </w:p>
        </w:tc>
      </w:tr>
      <w:tr>
        <w:trPr/>
        <w:tc>
          <w:tcPr>
            <w:tcW w:w="1700" w:type="dxa"/>
            <w:tcBorders/>
            <w:shd w:fill="C6F4F9" w:val="clear"/>
            <w:vAlign w:val="center"/>
          </w:tcPr>
          <w:p>
            <w:pPr>
              <w:pStyle w:val="TableContents"/>
              <w:bidi w:val="0"/>
              <w:spacing w:before="0" w:after="283"/>
              <w:jc w:val="left"/>
              <w:rPr>
                <w:sz w:val="20"/>
              </w:rPr>
            </w:pPr>
            <w:r>
              <w:rPr>
                <w:sz w:val="20"/>
              </w:rPr>
              <w:t>Schedule 5.20(a)</w:t>
            </w:r>
          </w:p>
        </w:tc>
        <w:tc>
          <w:tcPr>
            <w:tcW w:w="5825" w:type="dxa"/>
            <w:tcBorders/>
            <w:shd w:fill="C6F4F9" w:val="clear"/>
            <w:vAlign w:val="center"/>
          </w:tcPr>
          <w:p>
            <w:pPr>
              <w:pStyle w:val="TableContents"/>
              <w:bidi w:val="0"/>
              <w:spacing w:before="0" w:after="283"/>
              <w:jc w:val="left"/>
              <w:rPr>
                <w:sz w:val="20"/>
              </w:rPr>
            </w:pPr>
            <w:r>
              <w:rPr>
                <w:sz w:val="20"/>
              </w:rPr>
              <w:t>Subsidiaries, Joint Ventures, Partnerships and Other Equity Investments</w:t>
            </w:r>
          </w:p>
        </w:tc>
      </w:tr>
      <w:tr>
        <w:trPr/>
        <w:tc>
          <w:tcPr>
            <w:tcW w:w="1700" w:type="dxa"/>
            <w:tcBorders/>
            <w:shd w:fill="FFFFFF" w:val="clear"/>
            <w:vAlign w:val="center"/>
          </w:tcPr>
          <w:p>
            <w:pPr>
              <w:pStyle w:val="TableContents"/>
              <w:bidi w:val="0"/>
              <w:spacing w:before="0" w:after="283"/>
              <w:jc w:val="both"/>
              <w:rPr>
                <w:sz w:val="20"/>
              </w:rPr>
            </w:pPr>
            <w:r>
              <w:rPr>
                <w:sz w:val="20"/>
              </w:rPr>
              <w:t>Schedule 5.20(b)</w:t>
            </w:r>
          </w:p>
        </w:tc>
        <w:tc>
          <w:tcPr>
            <w:tcW w:w="5825" w:type="dxa"/>
            <w:tcBorders/>
            <w:shd w:fill="FFFFFF" w:val="clear"/>
            <w:vAlign w:val="center"/>
          </w:tcPr>
          <w:p>
            <w:pPr>
              <w:pStyle w:val="TableContents"/>
              <w:bidi w:val="0"/>
              <w:spacing w:before="0" w:after="283"/>
              <w:jc w:val="both"/>
              <w:rPr>
                <w:sz w:val="20"/>
              </w:rPr>
            </w:pPr>
            <w:r>
              <w:rPr>
                <w:sz w:val="20"/>
              </w:rPr>
              <w:t>Loan Parties</w:t>
            </w:r>
          </w:p>
        </w:tc>
      </w:tr>
      <w:tr>
        <w:trPr/>
        <w:tc>
          <w:tcPr>
            <w:tcW w:w="1700" w:type="dxa"/>
            <w:tcBorders/>
            <w:shd w:fill="C6F4F9" w:val="clear"/>
            <w:vAlign w:val="center"/>
          </w:tcPr>
          <w:p>
            <w:pPr>
              <w:pStyle w:val="TableContents"/>
              <w:bidi w:val="0"/>
              <w:spacing w:before="0" w:after="283"/>
              <w:jc w:val="both"/>
              <w:rPr>
                <w:sz w:val="20"/>
              </w:rPr>
            </w:pPr>
            <w:r>
              <w:rPr>
                <w:sz w:val="20"/>
              </w:rPr>
              <w:t>Schedule 5.21(b)(i)</w:t>
            </w:r>
          </w:p>
        </w:tc>
        <w:tc>
          <w:tcPr>
            <w:tcW w:w="5825" w:type="dxa"/>
            <w:tcBorders/>
            <w:shd w:fill="C6F4F9" w:val="clear"/>
            <w:vAlign w:val="center"/>
          </w:tcPr>
          <w:p>
            <w:pPr>
              <w:pStyle w:val="TableContents"/>
              <w:bidi w:val="0"/>
              <w:spacing w:before="0" w:after="283"/>
              <w:jc w:val="both"/>
              <w:rPr>
                <w:sz w:val="20"/>
              </w:rPr>
            </w:pPr>
            <w:r>
              <w:rPr>
                <w:sz w:val="20"/>
              </w:rPr>
              <w:t>Intellectual Property</w:t>
            </w:r>
          </w:p>
        </w:tc>
      </w:tr>
      <w:tr>
        <w:trPr/>
        <w:tc>
          <w:tcPr>
            <w:tcW w:w="1700" w:type="dxa"/>
            <w:tcBorders/>
            <w:shd w:fill="FFFFFF" w:val="clear"/>
            <w:vAlign w:val="center"/>
          </w:tcPr>
          <w:p>
            <w:pPr>
              <w:pStyle w:val="TableContents"/>
              <w:bidi w:val="0"/>
              <w:spacing w:before="0" w:after="283"/>
              <w:jc w:val="both"/>
              <w:rPr>
                <w:sz w:val="20"/>
              </w:rPr>
            </w:pPr>
            <w:r>
              <w:rPr>
                <w:sz w:val="20"/>
              </w:rPr>
              <w:t xml:space="preserve">Schedule 5.21(b)(ii) </w:t>
            </w:r>
          </w:p>
        </w:tc>
        <w:tc>
          <w:tcPr>
            <w:tcW w:w="5825" w:type="dxa"/>
            <w:tcBorders/>
            <w:shd w:fill="FFFFFF" w:val="clear"/>
            <w:vAlign w:val="center"/>
          </w:tcPr>
          <w:p>
            <w:pPr>
              <w:pStyle w:val="TableContents"/>
              <w:bidi w:val="0"/>
              <w:spacing w:before="0" w:after="283"/>
              <w:jc w:val="both"/>
              <w:rPr>
                <w:sz w:val="20"/>
              </w:rPr>
            </w:pPr>
            <w:r>
              <w:rPr>
                <w:sz w:val="20"/>
              </w:rPr>
              <w:t>Internet Domain Names</w:t>
            </w:r>
          </w:p>
        </w:tc>
      </w:tr>
      <w:tr>
        <w:trPr/>
        <w:tc>
          <w:tcPr>
            <w:tcW w:w="1700" w:type="dxa"/>
            <w:tcBorders/>
            <w:shd w:fill="C6F4F9" w:val="clear"/>
            <w:vAlign w:val="center"/>
          </w:tcPr>
          <w:p>
            <w:pPr>
              <w:pStyle w:val="TableContents"/>
              <w:bidi w:val="0"/>
              <w:spacing w:before="0" w:after="283"/>
              <w:jc w:val="both"/>
              <w:rPr>
                <w:sz w:val="20"/>
              </w:rPr>
            </w:pPr>
            <w:r>
              <w:rPr>
                <w:sz w:val="20"/>
              </w:rPr>
              <w:t>Schedule 5.21(c)</w:t>
            </w:r>
          </w:p>
        </w:tc>
        <w:tc>
          <w:tcPr>
            <w:tcW w:w="5825" w:type="dxa"/>
            <w:tcBorders/>
            <w:shd w:fill="C6F4F9" w:val="clear"/>
            <w:vAlign w:val="center"/>
          </w:tcPr>
          <w:p>
            <w:pPr>
              <w:pStyle w:val="TableContents"/>
              <w:bidi w:val="0"/>
              <w:spacing w:before="0" w:after="283"/>
              <w:jc w:val="both"/>
              <w:rPr>
                <w:sz w:val="20"/>
              </w:rPr>
            </w:pPr>
            <w:r>
              <w:rPr>
                <w:sz w:val="20"/>
              </w:rPr>
              <w:t>Pledged Equity Interests</w:t>
            </w:r>
          </w:p>
        </w:tc>
      </w:tr>
      <w:tr>
        <w:trPr/>
        <w:tc>
          <w:tcPr>
            <w:tcW w:w="1700" w:type="dxa"/>
            <w:tcBorders/>
            <w:shd w:fill="FFFFFF" w:val="clear"/>
            <w:vAlign w:val="center"/>
          </w:tcPr>
          <w:p>
            <w:pPr>
              <w:pStyle w:val="TableContents"/>
              <w:bidi w:val="0"/>
              <w:spacing w:before="0" w:after="283"/>
              <w:jc w:val="both"/>
              <w:rPr>
                <w:sz w:val="20"/>
              </w:rPr>
            </w:pPr>
            <w:r>
              <w:rPr>
                <w:sz w:val="20"/>
              </w:rPr>
              <w:t>Schedule 5.21(d)(i)</w:t>
            </w:r>
          </w:p>
        </w:tc>
        <w:tc>
          <w:tcPr>
            <w:tcW w:w="5825" w:type="dxa"/>
            <w:tcBorders/>
            <w:shd w:fill="FFFFFF" w:val="clear"/>
            <w:vAlign w:val="center"/>
          </w:tcPr>
          <w:p>
            <w:pPr>
              <w:pStyle w:val="TableContents"/>
              <w:bidi w:val="0"/>
              <w:spacing w:before="0" w:after="283"/>
              <w:jc w:val="both"/>
              <w:rPr>
                <w:sz w:val="20"/>
              </w:rPr>
            </w:pPr>
            <w:r>
              <w:rPr>
                <w:sz w:val="20"/>
              </w:rPr>
              <w:t>Real Properties</w:t>
            </w:r>
          </w:p>
        </w:tc>
      </w:tr>
      <w:tr>
        <w:trPr/>
        <w:tc>
          <w:tcPr>
            <w:tcW w:w="1700" w:type="dxa"/>
            <w:tcBorders/>
            <w:shd w:fill="C6F4F9" w:val="clear"/>
            <w:vAlign w:val="center"/>
          </w:tcPr>
          <w:p>
            <w:pPr>
              <w:pStyle w:val="TableContents"/>
              <w:bidi w:val="0"/>
              <w:spacing w:before="0" w:after="283"/>
              <w:jc w:val="both"/>
              <w:rPr>
                <w:sz w:val="20"/>
              </w:rPr>
            </w:pPr>
            <w:r>
              <w:rPr>
                <w:sz w:val="20"/>
              </w:rPr>
              <w:t>Schedule 5.21(d)(ii)</w:t>
            </w:r>
          </w:p>
        </w:tc>
        <w:tc>
          <w:tcPr>
            <w:tcW w:w="5825" w:type="dxa"/>
            <w:tcBorders/>
            <w:shd w:fill="C6F4F9" w:val="clear"/>
            <w:vAlign w:val="center"/>
          </w:tcPr>
          <w:p>
            <w:pPr>
              <w:pStyle w:val="TableContents"/>
              <w:bidi w:val="0"/>
              <w:spacing w:before="0" w:after="283"/>
              <w:jc w:val="both"/>
              <w:rPr>
                <w:sz w:val="20"/>
              </w:rPr>
            </w:pPr>
            <w:r>
              <w:rPr>
                <w:sz w:val="20"/>
              </w:rPr>
              <w:t>Other Properties</w:t>
            </w:r>
          </w:p>
        </w:tc>
      </w:tr>
      <w:tr>
        <w:trPr/>
        <w:tc>
          <w:tcPr>
            <w:tcW w:w="1700" w:type="dxa"/>
            <w:tcBorders/>
            <w:shd w:fill="FFFFFF" w:val="clear"/>
            <w:vAlign w:val="center"/>
          </w:tcPr>
          <w:p>
            <w:pPr>
              <w:pStyle w:val="TableContents"/>
              <w:bidi w:val="0"/>
              <w:spacing w:before="0" w:after="283"/>
              <w:jc w:val="both"/>
              <w:rPr>
                <w:sz w:val="20"/>
              </w:rPr>
            </w:pPr>
            <w:r>
              <w:rPr>
                <w:sz w:val="20"/>
              </w:rPr>
              <w:t>Schedule 5.21(e)</w:t>
            </w:r>
          </w:p>
        </w:tc>
        <w:tc>
          <w:tcPr>
            <w:tcW w:w="5825" w:type="dxa"/>
            <w:tcBorders/>
            <w:shd w:fill="FFFFFF" w:val="clear"/>
            <w:vAlign w:val="center"/>
          </w:tcPr>
          <w:p>
            <w:pPr>
              <w:pStyle w:val="TableContents"/>
              <w:bidi w:val="0"/>
              <w:spacing w:before="0" w:after="283"/>
              <w:jc w:val="both"/>
              <w:rPr>
                <w:sz w:val="20"/>
              </w:rPr>
            </w:pPr>
            <w:r>
              <w:rPr>
                <w:sz w:val="20"/>
              </w:rPr>
              <w:t>Material Contracts</w:t>
            </w:r>
          </w:p>
        </w:tc>
      </w:tr>
      <w:tr>
        <w:trPr/>
        <w:tc>
          <w:tcPr>
            <w:tcW w:w="1700" w:type="dxa"/>
            <w:tcBorders/>
            <w:shd w:fill="C6F4F9" w:val="clear"/>
            <w:vAlign w:val="center"/>
          </w:tcPr>
          <w:p>
            <w:pPr>
              <w:pStyle w:val="TableContents"/>
              <w:bidi w:val="0"/>
              <w:spacing w:before="0" w:after="283"/>
              <w:jc w:val="both"/>
              <w:rPr>
                <w:sz w:val="20"/>
              </w:rPr>
            </w:pPr>
            <w:r>
              <w:rPr>
                <w:sz w:val="20"/>
              </w:rPr>
              <w:t>Schedule 7.01</w:t>
            </w:r>
          </w:p>
        </w:tc>
        <w:tc>
          <w:tcPr>
            <w:tcW w:w="5825" w:type="dxa"/>
            <w:tcBorders/>
            <w:shd w:fill="C6F4F9" w:val="clear"/>
            <w:vAlign w:val="center"/>
          </w:tcPr>
          <w:p>
            <w:pPr>
              <w:pStyle w:val="TableContents"/>
              <w:bidi w:val="0"/>
              <w:spacing w:before="0" w:after="283"/>
              <w:jc w:val="both"/>
              <w:rPr>
                <w:sz w:val="20"/>
              </w:rPr>
            </w:pPr>
            <w:r>
              <w:rPr>
                <w:sz w:val="20"/>
              </w:rPr>
              <w:t>Existing Liens</w:t>
            </w:r>
          </w:p>
        </w:tc>
      </w:tr>
      <w:tr>
        <w:trPr/>
        <w:tc>
          <w:tcPr>
            <w:tcW w:w="1700" w:type="dxa"/>
            <w:tcBorders/>
            <w:shd w:fill="FFFFFF" w:val="clear"/>
            <w:vAlign w:val="center"/>
          </w:tcPr>
          <w:p>
            <w:pPr>
              <w:pStyle w:val="TableContents"/>
              <w:bidi w:val="0"/>
              <w:spacing w:before="0" w:after="283"/>
              <w:jc w:val="both"/>
              <w:rPr>
                <w:sz w:val="20"/>
              </w:rPr>
            </w:pPr>
            <w:r>
              <w:rPr>
                <w:sz w:val="20"/>
              </w:rPr>
              <w:t>Schedule 7.02(b)</w:t>
            </w:r>
          </w:p>
        </w:tc>
        <w:tc>
          <w:tcPr>
            <w:tcW w:w="5825" w:type="dxa"/>
            <w:tcBorders/>
            <w:shd w:fill="FFFFFF" w:val="clear"/>
            <w:vAlign w:val="center"/>
          </w:tcPr>
          <w:p>
            <w:pPr>
              <w:pStyle w:val="TableContents"/>
              <w:bidi w:val="0"/>
              <w:spacing w:before="0" w:after="283"/>
              <w:jc w:val="both"/>
              <w:rPr>
                <w:sz w:val="20"/>
              </w:rPr>
            </w:pPr>
            <w:r>
              <w:rPr>
                <w:sz w:val="20"/>
              </w:rPr>
              <w:t>Existing Indebtedness</w:t>
            </w:r>
          </w:p>
        </w:tc>
      </w:tr>
      <w:tr>
        <w:trPr/>
        <w:tc>
          <w:tcPr>
            <w:tcW w:w="1700" w:type="dxa"/>
            <w:tcBorders/>
            <w:shd w:fill="C6F4F9" w:val="clear"/>
            <w:vAlign w:val="center"/>
          </w:tcPr>
          <w:p>
            <w:pPr>
              <w:pStyle w:val="TableContents"/>
              <w:bidi w:val="0"/>
              <w:spacing w:before="0" w:after="283"/>
              <w:jc w:val="both"/>
              <w:rPr>
                <w:sz w:val="20"/>
              </w:rPr>
            </w:pPr>
            <w:r>
              <w:rPr>
                <w:sz w:val="20"/>
              </w:rPr>
              <w:t>Schedule 7.02(j)</w:t>
            </w:r>
          </w:p>
        </w:tc>
        <w:tc>
          <w:tcPr>
            <w:tcW w:w="5825" w:type="dxa"/>
            <w:tcBorders/>
            <w:shd w:fill="C6F4F9" w:val="clear"/>
            <w:vAlign w:val="center"/>
          </w:tcPr>
          <w:p>
            <w:pPr>
              <w:pStyle w:val="TableContents"/>
              <w:bidi w:val="0"/>
              <w:spacing w:before="0" w:after="283"/>
              <w:jc w:val="both"/>
              <w:rPr>
                <w:sz w:val="20"/>
              </w:rPr>
            </w:pPr>
            <w:r>
              <w:rPr>
                <w:sz w:val="20"/>
              </w:rPr>
              <w:t>Existing Contingent Obligations</w:t>
            </w:r>
          </w:p>
        </w:tc>
      </w:tr>
      <w:tr>
        <w:trPr/>
        <w:tc>
          <w:tcPr>
            <w:tcW w:w="1700" w:type="dxa"/>
            <w:tcBorders/>
            <w:shd w:fill="FFFFFF" w:val="clear"/>
            <w:vAlign w:val="center"/>
          </w:tcPr>
          <w:p>
            <w:pPr>
              <w:pStyle w:val="TableContents"/>
              <w:bidi w:val="0"/>
              <w:spacing w:before="0" w:after="283"/>
              <w:jc w:val="both"/>
              <w:rPr>
                <w:sz w:val="20"/>
              </w:rPr>
            </w:pPr>
            <w:r>
              <w:rPr>
                <w:sz w:val="20"/>
              </w:rPr>
              <w:t>Schedule 7.03</w:t>
            </w:r>
          </w:p>
        </w:tc>
        <w:tc>
          <w:tcPr>
            <w:tcW w:w="5825" w:type="dxa"/>
            <w:tcBorders/>
            <w:shd w:fill="FFFFFF" w:val="clear"/>
            <w:vAlign w:val="center"/>
          </w:tcPr>
          <w:p>
            <w:pPr>
              <w:pStyle w:val="TableContents"/>
              <w:bidi w:val="0"/>
              <w:spacing w:before="0" w:after="283"/>
              <w:jc w:val="both"/>
              <w:rPr>
                <w:sz w:val="20"/>
              </w:rPr>
            </w:pPr>
            <w:r>
              <w:rPr>
                <w:sz w:val="20"/>
              </w:rPr>
              <w:t>Existing Investments</w:t>
            </w:r>
          </w:p>
        </w:tc>
      </w:tr>
      <w:tr>
        <w:trPr/>
        <w:tc>
          <w:tcPr>
            <w:tcW w:w="1700" w:type="dxa"/>
            <w:tcBorders/>
            <w:shd w:fill="C6F4F9" w:val="clear"/>
            <w:vAlign w:val="center"/>
          </w:tcPr>
          <w:p>
            <w:pPr>
              <w:pStyle w:val="TableContents"/>
              <w:bidi w:val="0"/>
              <w:spacing w:before="0" w:after="283"/>
              <w:jc w:val="both"/>
              <w:rPr>
                <w:sz w:val="20"/>
              </w:rPr>
            </w:pPr>
            <w:r>
              <w:rPr>
                <w:sz w:val="20"/>
              </w:rPr>
              <w:t>Schedule 7.08</w:t>
            </w:r>
          </w:p>
        </w:tc>
        <w:tc>
          <w:tcPr>
            <w:tcW w:w="5825" w:type="dxa"/>
            <w:tcBorders/>
            <w:shd w:fill="C6F4F9" w:val="clear"/>
            <w:vAlign w:val="center"/>
          </w:tcPr>
          <w:p>
            <w:pPr>
              <w:pStyle w:val="TableContents"/>
              <w:bidi w:val="0"/>
              <w:spacing w:before="0" w:after="283"/>
              <w:jc w:val="both"/>
              <w:rPr>
                <w:sz w:val="20"/>
              </w:rPr>
            </w:pPr>
            <w:r>
              <w:rPr>
                <w:sz w:val="20"/>
              </w:rPr>
              <w:t>Transactions with Affiliates</w:t>
            </w:r>
          </w:p>
        </w:tc>
      </w:tr>
      <w:tr>
        <w:trPr/>
        <w:tc>
          <w:tcPr>
            <w:tcW w:w="1700" w:type="dxa"/>
            <w:tcBorders/>
            <w:shd w:fill="FFFFFF" w:val="clear"/>
            <w:vAlign w:val="center"/>
          </w:tcPr>
          <w:p>
            <w:pPr>
              <w:pStyle w:val="TableContents"/>
              <w:bidi w:val="0"/>
              <w:spacing w:before="0" w:after="283"/>
              <w:jc w:val="both"/>
              <w:rPr>
                <w:sz w:val="20"/>
              </w:rPr>
            </w:pPr>
            <w:r>
              <w:rPr>
                <w:sz w:val="20"/>
              </w:rPr>
              <w:t>Schedule 7.09</w:t>
            </w:r>
          </w:p>
        </w:tc>
        <w:tc>
          <w:tcPr>
            <w:tcW w:w="5825" w:type="dxa"/>
            <w:tcBorders/>
            <w:shd w:fill="FFFFFF" w:val="clear"/>
            <w:vAlign w:val="center"/>
          </w:tcPr>
          <w:p>
            <w:pPr>
              <w:pStyle w:val="TableContents"/>
              <w:bidi w:val="0"/>
              <w:spacing w:before="0" w:after="283"/>
              <w:jc w:val="both"/>
              <w:rPr>
                <w:sz w:val="20"/>
              </w:rPr>
            </w:pPr>
            <w:r>
              <w:rPr>
                <w:sz w:val="20"/>
              </w:rPr>
              <w:t>Restrictive Agreements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PREPARED SCHEDULES</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415"/>
        <w:gridCol w:w="4010"/>
      </w:tblGrid>
      <w:tr>
        <w:trPr/>
        <w:tc>
          <w:tcPr>
            <w:tcW w:w="1415" w:type="dxa"/>
            <w:tcBorders/>
            <w:shd w:fill="C6F4F9" w:val="clear"/>
            <w:vAlign w:val="center"/>
          </w:tcPr>
          <w:p>
            <w:pPr>
              <w:pStyle w:val="TableContents"/>
              <w:bidi w:val="0"/>
              <w:spacing w:before="0" w:after="283"/>
              <w:jc w:val="both"/>
              <w:rPr>
                <w:sz w:val="20"/>
              </w:rPr>
            </w:pPr>
            <w:r>
              <w:rPr>
                <w:sz w:val="20"/>
              </w:rPr>
              <w:t>Schedule 1.01(a)</w:t>
            </w:r>
          </w:p>
        </w:tc>
        <w:tc>
          <w:tcPr>
            <w:tcW w:w="4010" w:type="dxa"/>
            <w:tcBorders/>
            <w:shd w:fill="C6F4F9" w:val="clear"/>
            <w:vAlign w:val="center"/>
          </w:tcPr>
          <w:p>
            <w:pPr>
              <w:pStyle w:val="TableContents"/>
              <w:bidi w:val="0"/>
              <w:spacing w:before="0" w:after="283"/>
              <w:jc w:val="both"/>
              <w:rPr>
                <w:sz w:val="20"/>
              </w:rPr>
            </w:pPr>
            <w:r>
              <w:rPr>
                <w:sz w:val="20"/>
              </w:rPr>
              <w:t>Certain Addresses for Notices</w:t>
            </w:r>
          </w:p>
        </w:tc>
      </w:tr>
      <w:tr>
        <w:trPr/>
        <w:tc>
          <w:tcPr>
            <w:tcW w:w="1415" w:type="dxa"/>
            <w:tcBorders/>
            <w:shd w:fill="FFFFFF" w:val="clear"/>
            <w:vAlign w:val="center"/>
          </w:tcPr>
          <w:p>
            <w:pPr>
              <w:pStyle w:val="TableContents"/>
              <w:bidi w:val="0"/>
              <w:spacing w:before="0" w:after="283"/>
              <w:jc w:val="both"/>
              <w:rPr>
                <w:sz w:val="20"/>
              </w:rPr>
            </w:pPr>
            <w:r>
              <w:rPr>
                <w:sz w:val="20"/>
              </w:rPr>
              <w:t>Schedule 1.01(b)</w:t>
            </w:r>
          </w:p>
        </w:tc>
        <w:tc>
          <w:tcPr>
            <w:tcW w:w="4010" w:type="dxa"/>
            <w:tcBorders/>
            <w:shd w:fill="FFFFFF" w:val="clear"/>
            <w:vAlign w:val="center"/>
          </w:tcPr>
          <w:p>
            <w:pPr>
              <w:pStyle w:val="TableContents"/>
              <w:bidi w:val="0"/>
              <w:spacing w:before="0" w:after="283"/>
              <w:jc w:val="both"/>
              <w:rPr>
                <w:sz w:val="20"/>
              </w:rPr>
            </w:pPr>
            <w:r>
              <w:rPr>
                <w:sz w:val="20"/>
              </w:rPr>
              <w:t>Initial Commitments and Applicable Percentages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875"/>
        <w:gridCol w:w="4745"/>
      </w:tblGrid>
      <w:tr>
        <w:trPr/>
        <w:tc>
          <w:tcPr>
            <w:tcW w:w="875" w:type="dxa"/>
            <w:tcBorders/>
            <w:shd w:fill="C6F4F9" w:val="clear"/>
            <w:vAlign w:val="center"/>
          </w:tcPr>
          <w:p>
            <w:pPr>
              <w:pStyle w:val="TableContents"/>
              <w:bidi w:val="0"/>
              <w:spacing w:before="0" w:after="283"/>
              <w:jc w:val="both"/>
              <w:rPr>
                <w:sz w:val="20"/>
              </w:rPr>
            </w:pPr>
            <w:r>
              <w:rPr>
                <w:sz w:val="20"/>
              </w:rPr>
              <w:t>Exhibit A</w:t>
            </w:r>
          </w:p>
        </w:tc>
        <w:tc>
          <w:tcPr>
            <w:tcW w:w="4745" w:type="dxa"/>
            <w:tcBorders/>
            <w:shd w:fill="C6F4F9" w:val="clear"/>
            <w:vAlign w:val="center"/>
          </w:tcPr>
          <w:p>
            <w:pPr>
              <w:pStyle w:val="TableContents"/>
              <w:bidi w:val="0"/>
              <w:spacing w:before="0" w:after="283"/>
              <w:jc w:val="both"/>
              <w:rPr>
                <w:sz w:val="20"/>
              </w:rPr>
            </w:pPr>
            <w:r>
              <w:rPr>
                <w:sz w:val="20"/>
              </w:rPr>
              <w:t>Form of Administrative Questionnaire</w:t>
            </w:r>
          </w:p>
        </w:tc>
      </w:tr>
      <w:tr>
        <w:trPr/>
        <w:tc>
          <w:tcPr>
            <w:tcW w:w="875" w:type="dxa"/>
            <w:tcBorders/>
            <w:shd w:fill="FFFFFF" w:val="clear"/>
            <w:vAlign w:val="center"/>
          </w:tcPr>
          <w:p>
            <w:pPr>
              <w:pStyle w:val="TableContents"/>
              <w:bidi w:val="0"/>
              <w:spacing w:before="0" w:after="283"/>
              <w:jc w:val="both"/>
              <w:rPr>
                <w:sz w:val="20"/>
              </w:rPr>
            </w:pPr>
            <w:r>
              <w:rPr>
                <w:sz w:val="20"/>
              </w:rPr>
              <w:t>Exhibit B</w:t>
            </w:r>
          </w:p>
        </w:tc>
        <w:tc>
          <w:tcPr>
            <w:tcW w:w="4745" w:type="dxa"/>
            <w:tcBorders/>
            <w:shd w:fill="FFFFFF" w:val="clear"/>
            <w:vAlign w:val="center"/>
          </w:tcPr>
          <w:p>
            <w:pPr>
              <w:pStyle w:val="TableContents"/>
              <w:bidi w:val="0"/>
              <w:spacing w:before="0" w:after="283"/>
              <w:jc w:val="both"/>
              <w:rPr>
                <w:sz w:val="20"/>
              </w:rPr>
            </w:pPr>
            <w:r>
              <w:rPr>
                <w:sz w:val="20"/>
              </w:rPr>
              <w:t xml:space="preserve">Form of Assignment and Assumption </w:t>
            </w:r>
          </w:p>
        </w:tc>
      </w:tr>
      <w:tr>
        <w:trPr/>
        <w:tc>
          <w:tcPr>
            <w:tcW w:w="875" w:type="dxa"/>
            <w:tcBorders/>
            <w:shd w:fill="C6F4F9" w:val="clear"/>
            <w:vAlign w:val="center"/>
          </w:tcPr>
          <w:p>
            <w:pPr>
              <w:pStyle w:val="TableContents"/>
              <w:bidi w:val="0"/>
              <w:spacing w:before="0" w:after="283"/>
              <w:jc w:val="both"/>
              <w:rPr>
                <w:sz w:val="20"/>
              </w:rPr>
            </w:pPr>
            <w:r>
              <w:rPr>
                <w:sz w:val="20"/>
              </w:rPr>
              <w:t>Exhibit C</w:t>
            </w:r>
          </w:p>
        </w:tc>
        <w:tc>
          <w:tcPr>
            <w:tcW w:w="4745" w:type="dxa"/>
            <w:tcBorders/>
            <w:shd w:fill="C6F4F9" w:val="clear"/>
            <w:vAlign w:val="center"/>
          </w:tcPr>
          <w:p>
            <w:pPr>
              <w:pStyle w:val="TableContents"/>
              <w:bidi w:val="0"/>
              <w:spacing w:before="0" w:after="283"/>
              <w:jc w:val="both"/>
              <w:rPr>
                <w:sz w:val="20"/>
              </w:rPr>
            </w:pPr>
            <w:r>
              <w:rPr>
                <w:sz w:val="20"/>
              </w:rPr>
              <w:t>Form of Compliance Certificate</w:t>
            </w:r>
          </w:p>
        </w:tc>
      </w:tr>
      <w:tr>
        <w:trPr/>
        <w:tc>
          <w:tcPr>
            <w:tcW w:w="875" w:type="dxa"/>
            <w:tcBorders/>
            <w:shd w:fill="FFFFFF" w:val="clear"/>
            <w:vAlign w:val="center"/>
          </w:tcPr>
          <w:p>
            <w:pPr>
              <w:pStyle w:val="TableContents"/>
              <w:bidi w:val="0"/>
              <w:spacing w:before="0" w:after="283"/>
              <w:jc w:val="both"/>
              <w:rPr>
                <w:sz w:val="20"/>
              </w:rPr>
            </w:pPr>
            <w:r>
              <w:rPr>
                <w:sz w:val="20"/>
              </w:rPr>
              <w:t>Exhibit D</w:t>
            </w:r>
          </w:p>
        </w:tc>
        <w:tc>
          <w:tcPr>
            <w:tcW w:w="4745" w:type="dxa"/>
            <w:tcBorders/>
            <w:shd w:fill="FFFFFF" w:val="clear"/>
            <w:vAlign w:val="center"/>
          </w:tcPr>
          <w:p>
            <w:pPr>
              <w:pStyle w:val="TableContents"/>
              <w:bidi w:val="0"/>
              <w:spacing w:before="0" w:after="283"/>
              <w:jc w:val="both"/>
              <w:rPr>
                <w:sz w:val="20"/>
              </w:rPr>
            </w:pPr>
            <w:r>
              <w:rPr>
                <w:sz w:val="20"/>
              </w:rPr>
              <w:t>Form of Joinder Agreement</w:t>
            </w:r>
          </w:p>
        </w:tc>
      </w:tr>
      <w:tr>
        <w:trPr/>
        <w:tc>
          <w:tcPr>
            <w:tcW w:w="875" w:type="dxa"/>
            <w:tcBorders/>
            <w:shd w:fill="C6F4F9" w:val="clear"/>
            <w:vAlign w:val="center"/>
          </w:tcPr>
          <w:p>
            <w:pPr>
              <w:pStyle w:val="TableContents"/>
              <w:bidi w:val="0"/>
              <w:spacing w:before="0" w:after="283"/>
              <w:jc w:val="both"/>
              <w:rPr>
                <w:sz w:val="20"/>
              </w:rPr>
            </w:pPr>
            <w:r>
              <w:rPr>
                <w:sz w:val="20"/>
              </w:rPr>
              <w:t>Exhibit E</w:t>
            </w:r>
          </w:p>
        </w:tc>
        <w:tc>
          <w:tcPr>
            <w:tcW w:w="4745" w:type="dxa"/>
            <w:tcBorders/>
            <w:shd w:fill="C6F4F9" w:val="clear"/>
            <w:vAlign w:val="center"/>
          </w:tcPr>
          <w:p>
            <w:pPr>
              <w:pStyle w:val="TableContents"/>
              <w:bidi w:val="0"/>
              <w:spacing w:before="0" w:after="283"/>
              <w:jc w:val="both"/>
              <w:rPr>
                <w:sz w:val="20"/>
              </w:rPr>
            </w:pPr>
            <w:r>
              <w:rPr>
                <w:sz w:val="20"/>
              </w:rPr>
              <w:t>Form of Loan Notice</w:t>
            </w:r>
          </w:p>
        </w:tc>
      </w:tr>
      <w:tr>
        <w:trPr/>
        <w:tc>
          <w:tcPr>
            <w:tcW w:w="875" w:type="dxa"/>
            <w:tcBorders/>
            <w:shd w:fill="FFFFFF" w:val="clear"/>
            <w:vAlign w:val="center"/>
          </w:tcPr>
          <w:p>
            <w:pPr>
              <w:pStyle w:val="TableContents"/>
              <w:bidi w:val="0"/>
              <w:spacing w:before="0" w:after="283"/>
              <w:jc w:val="both"/>
              <w:rPr>
                <w:sz w:val="20"/>
              </w:rPr>
            </w:pPr>
            <w:r>
              <w:rPr>
                <w:sz w:val="20"/>
              </w:rPr>
              <w:t>Exhibit F</w:t>
            </w:r>
          </w:p>
        </w:tc>
        <w:tc>
          <w:tcPr>
            <w:tcW w:w="4745" w:type="dxa"/>
            <w:tcBorders/>
            <w:shd w:fill="FFFFFF" w:val="clear"/>
            <w:vAlign w:val="center"/>
          </w:tcPr>
          <w:p>
            <w:pPr>
              <w:pStyle w:val="TableContents"/>
              <w:bidi w:val="0"/>
              <w:spacing w:before="0" w:after="283"/>
              <w:jc w:val="both"/>
              <w:rPr>
                <w:sz w:val="20"/>
              </w:rPr>
            </w:pPr>
            <w:r>
              <w:rPr>
                <w:sz w:val="20"/>
              </w:rPr>
              <w:t>Form of Permitted Acquisition Certificate</w:t>
            </w:r>
          </w:p>
        </w:tc>
      </w:tr>
      <w:tr>
        <w:trPr/>
        <w:tc>
          <w:tcPr>
            <w:tcW w:w="875" w:type="dxa"/>
            <w:tcBorders/>
            <w:shd w:fill="C6F4F9" w:val="clear"/>
            <w:vAlign w:val="center"/>
          </w:tcPr>
          <w:p>
            <w:pPr>
              <w:pStyle w:val="TableContents"/>
              <w:bidi w:val="0"/>
              <w:spacing w:before="0" w:after="283"/>
              <w:jc w:val="both"/>
              <w:rPr>
                <w:sz w:val="20"/>
              </w:rPr>
            </w:pPr>
            <w:r>
              <w:rPr>
                <w:sz w:val="20"/>
              </w:rPr>
              <w:t>Exhibit G</w:t>
            </w:r>
          </w:p>
        </w:tc>
        <w:tc>
          <w:tcPr>
            <w:tcW w:w="4745" w:type="dxa"/>
            <w:tcBorders/>
            <w:shd w:fill="C6F4F9" w:val="clear"/>
            <w:vAlign w:val="center"/>
          </w:tcPr>
          <w:p>
            <w:pPr>
              <w:pStyle w:val="TableContents"/>
              <w:bidi w:val="0"/>
              <w:spacing w:before="0" w:after="283"/>
              <w:jc w:val="both"/>
              <w:rPr>
                <w:sz w:val="20"/>
              </w:rPr>
            </w:pPr>
            <w:r>
              <w:rPr>
                <w:sz w:val="20"/>
              </w:rPr>
              <w:t>Form of Revolving Note</w:t>
            </w:r>
          </w:p>
        </w:tc>
      </w:tr>
      <w:tr>
        <w:trPr/>
        <w:tc>
          <w:tcPr>
            <w:tcW w:w="875" w:type="dxa"/>
            <w:tcBorders/>
            <w:shd w:fill="FFFFFF" w:val="clear"/>
            <w:vAlign w:val="center"/>
          </w:tcPr>
          <w:p>
            <w:pPr>
              <w:pStyle w:val="TableContents"/>
              <w:bidi w:val="0"/>
              <w:spacing w:before="0" w:after="283"/>
              <w:jc w:val="both"/>
              <w:rPr>
                <w:sz w:val="20"/>
              </w:rPr>
            </w:pPr>
            <w:r>
              <w:rPr>
                <w:sz w:val="20"/>
              </w:rPr>
              <w:t>Exhibit H</w:t>
            </w:r>
          </w:p>
        </w:tc>
        <w:tc>
          <w:tcPr>
            <w:tcW w:w="4745" w:type="dxa"/>
            <w:tcBorders/>
            <w:shd w:fill="FFFFFF" w:val="clear"/>
            <w:vAlign w:val="center"/>
          </w:tcPr>
          <w:p>
            <w:pPr>
              <w:pStyle w:val="TableContents"/>
              <w:bidi w:val="0"/>
              <w:spacing w:before="0" w:after="283"/>
              <w:jc w:val="both"/>
              <w:rPr>
                <w:sz w:val="20"/>
              </w:rPr>
            </w:pPr>
            <w:r>
              <w:rPr>
                <w:sz w:val="20"/>
              </w:rPr>
              <w:t>Form of Secured Party Designation Notice</w:t>
            </w:r>
          </w:p>
        </w:tc>
      </w:tr>
      <w:tr>
        <w:trPr/>
        <w:tc>
          <w:tcPr>
            <w:tcW w:w="875" w:type="dxa"/>
            <w:tcBorders/>
            <w:shd w:fill="C6F4F9" w:val="clear"/>
            <w:vAlign w:val="center"/>
          </w:tcPr>
          <w:p>
            <w:pPr>
              <w:pStyle w:val="TableContents"/>
              <w:bidi w:val="0"/>
              <w:spacing w:before="0" w:after="283"/>
              <w:jc w:val="both"/>
              <w:rPr>
                <w:sz w:val="20"/>
              </w:rPr>
            </w:pPr>
            <w:r>
              <w:rPr>
                <w:sz w:val="20"/>
              </w:rPr>
              <w:t>Exhibit I</w:t>
            </w:r>
          </w:p>
        </w:tc>
        <w:tc>
          <w:tcPr>
            <w:tcW w:w="4745" w:type="dxa"/>
            <w:tcBorders/>
            <w:shd w:fill="C6F4F9" w:val="clear"/>
            <w:vAlign w:val="center"/>
          </w:tcPr>
          <w:p>
            <w:pPr>
              <w:pStyle w:val="TableContents"/>
              <w:bidi w:val="0"/>
              <w:spacing w:before="0" w:after="283"/>
              <w:jc w:val="both"/>
              <w:rPr>
                <w:sz w:val="20"/>
              </w:rPr>
            </w:pPr>
            <w:r>
              <w:rPr>
                <w:sz w:val="20"/>
              </w:rPr>
              <w:t>Form of Swingline Loan Notice</w:t>
            </w:r>
          </w:p>
        </w:tc>
      </w:tr>
      <w:tr>
        <w:trPr/>
        <w:tc>
          <w:tcPr>
            <w:tcW w:w="875" w:type="dxa"/>
            <w:tcBorders/>
            <w:shd w:fill="FFFFFF" w:val="clear"/>
            <w:vAlign w:val="center"/>
          </w:tcPr>
          <w:p>
            <w:pPr>
              <w:pStyle w:val="TableContents"/>
              <w:bidi w:val="0"/>
              <w:spacing w:before="0" w:after="283"/>
              <w:jc w:val="both"/>
              <w:rPr>
                <w:sz w:val="20"/>
              </w:rPr>
            </w:pPr>
            <w:r>
              <w:rPr>
                <w:sz w:val="20"/>
              </w:rPr>
              <w:t>Exhibit J</w:t>
            </w:r>
          </w:p>
        </w:tc>
        <w:tc>
          <w:tcPr>
            <w:tcW w:w="4745" w:type="dxa"/>
            <w:tcBorders/>
            <w:shd w:fill="FFFFFF" w:val="clear"/>
            <w:vAlign w:val="center"/>
          </w:tcPr>
          <w:p>
            <w:pPr>
              <w:pStyle w:val="TableContents"/>
              <w:bidi w:val="0"/>
              <w:spacing w:before="0" w:after="283"/>
              <w:jc w:val="both"/>
              <w:rPr>
                <w:sz w:val="20"/>
              </w:rPr>
            </w:pPr>
            <w:r>
              <w:rPr>
                <w:sz w:val="20"/>
              </w:rPr>
              <w:t>Form of Officer’s Certificate</w:t>
            </w:r>
          </w:p>
        </w:tc>
      </w:tr>
      <w:tr>
        <w:trPr/>
        <w:tc>
          <w:tcPr>
            <w:tcW w:w="875" w:type="dxa"/>
            <w:tcBorders/>
            <w:shd w:fill="C6F4F9" w:val="clear"/>
            <w:vAlign w:val="center"/>
          </w:tcPr>
          <w:p>
            <w:pPr>
              <w:pStyle w:val="TableContents"/>
              <w:bidi w:val="0"/>
              <w:spacing w:before="0" w:after="283"/>
              <w:jc w:val="both"/>
              <w:rPr>
                <w:sz w:val="20"/>
              </w:rPr>
            </w:pPr>
            <w:r>
              <w:rPr>
                <w:sz w:val="20"/>
              </w:rPr>
              <w:t>Exhibit K</w:t>
            </w:r>
          </w:p>
        </w:tc>
        <w:tc>
          <w:tcPr>
            <w:tcW w:w="4745" w:type="dxa"/>
            <w:tcBorders/>
            <w:shd w:fill="C6F4F9" w:val="clear"/>
            <w:vAlign w:val="center"/>
          </w:tcPr>
          <w:p>
            <w:pPr>
              <w:pStyle w:val="TableContents"/>
              <w:bidi w:val="0"/>
              <w:spacing w:before="0" w:after="283"/>
              <w:jc w:val="both"/>
              <w:rPr>
                <w:sz w:val="20"/>
              </w:rPr>
            </w:pPr>
            <w:r>
              <w:rPr>
                <w:sz w:val="20"/>
              </w:rPr>
              <w:t>Forms of U.S. Tax Compliance Certificates</w:t>
            </w:r>
          </w:p>
        </w:tc>
      </w:tr>
      <w:tr>
        <w:trPr/>
        <w:tc>
          <w:tcPr>
            <w:tcW w:w="875" w:type="dxa"/>
            <w:tcBorders/>
            <w:shd w:fill="FFFFFF" w:val="clear"/>
            <w:vAlign w:val="center"/>
          </w:tcPr>
          <w:p>
            <w:pPr>
              <w:pStyle w:val="TableContents"/>
              <w:bidi w:val="0"/>
              <w:spacing w:before="0" w:after="283"/>
              <w:jc w:val="both"/>
              <w:rPr>
                <w:sz w:val="20"/>
              </w:rPr>
            </w:pPr>
            <w:r>
              <w:rPr>
                <w:sz w:val="20"/>
              </w:rPr>
              <w:t>Exhibit L</w:t>
            </w:r>
          </w:p>
        </w:tc>
        <w:tc>
          <w:tcPr>
            <w:tcW w:w="4745" w:type="dxa"/>
            <w:tcBorders/>
            <w:shd w:fill="FFFFFF" w:val="clear"/>
            <w:vAlign w:val="center"/>
          </w:tcPr>
          <w:p>
            <w:pPr>
              <w:pStyle w:val="TableContents"/>
              <w:bidi w:val="0"/>
              <w:spacing w:before="0" w:after="283"/>
              <w:jc w:val="both"/>
              <w:rPr>
                <w:sz w:val="20"/>
              </w:rPr>
            </w:pPr>
            <w:r>
              <w:rPr>
                <w:sz w:val="20"/>
              </w:rPr>
              <w:t>Form of Funding Indemnity Letter</w:t>
            </w:r>
          </w:p>
        </w:tc>
      </w:tr>
      <w:tr>
        <w:trPr/>
        <w:tc>
          <w:tcPr>
            <w:tcW w:w="875" w:type="dxa"/>
            <w:tcBorders/>
            <w:shd w:fill="C6F4F9" w:val="clear"/>
            <w:vAlign w:val="center"/>
          </w:tcPr>
          <w:p>
            <w:pPr>
              <w:pStyle w:val="TableContents"/>
              <w:bidi w:val="0"/>
              <w:spacing w:before="0" w:after="283"/>
              <w:jc w:val="both"/>
              <w:rPr>
                <w:sz w:val="20"/>
              </w:rPr>
            </w:pPr>
            <w:r>
              <w:rPr>
                <w:sz w:val="20"/>
              </w:rPr>
              <w:t>Exhibit M</w:t>
            </w:r>
          </w:p>
        </w:tc>
        <w:tc>
          <w:tcPr>
            <w:tcW w:w="4745" w:type="dxa"/>
            <w:tcBorders/>
            <w:shd w:fill="C6F4F9" w:val="clear"/>
            <w:vAlign w:val="center"/>
          </w:tcPr>
          <w:p>
            <w:pPr>
              <w:pStyle w:val="TableContents"/>
              <w:bidi w:val="0"/>
              <w:spacing w:before="0" w:after="283"/>
              <w:jc w:val="both"/>
              <w:rPr>
                <w:sz w:val="20"/>
              </w:rPr>
            </w:pPr>
            <w:r>
              <w:rPr>
                <w:sz w:val="20"/>
              </w:rPr>
              <w:t>Form of Landlord Waiver</w:t>
            </w:r>
          </w:p>
        </w:tc>
      </w:tr>
      <w:tr>
        <w:trPr/>
        <w:tc>
          <w:tcPr>
            <w:tcW w:w="875" w:type="dxa"/>
            <w:tcBorders/>
            <w:shd w:fill="FFFFFF" w:val="clear"/>
            <w:vAlign w:val="center"/>
          </w:tcPr>
          <w:p>
            <w:pPr>
              <w:pStyle w:val="TableContents"/>
              <w:bidi w:val="0"/>
              <w:spacing w:before="0" w:after="283"/>
              <w:jc w:val="both"/>
              <w:rPr>
                <w:sz w:val="20"/>
              </w:rPr>
            </w:pPr>
            <w:r>
              <w:rPr>
                <w:sz w:val="20"/>
              </w:rPr>
              <w:t>Exhibit N</w:t>
            </w:r>
          </w:p>
        </w:tc>
        <w:tc>
          <w:tcPr>
            <w:tcW w:w="4745" w:type="dxa"/>
            <w:tcBorders/>
            <w:shd w:fill="FFFFFF" w:val="clear"/>
            <w:vAlign w:val="center"/>
          </w:tcPr>
          <w:p>
            <w:pPr>
              <w:pStyle w:val="TableContents"/>
              <w:bidi w:val="0"/>
              <w:spacing w:before="0" w:after="283"/>
              <w:jc w:val="both"/>
              <w:rPr>
                <w:sz w:val="20"/>
              </w:rPr>
            </w:pPr>
            <w:r>
              <w:rPr>
                <w:sz w:val="20"/>
              </w:rPr>
              <w:t>Form of Financial Condition Certificate</w:t>
            </w:r>
          </w:p>
        </w:tc>
      </w:tr>
      <w:tr>
        <w:trPr/>
        <w:tc>
          <w:tcPr>
            <w:tcW w:w="875" w:type="dxa"/>
            <w:tcBorders/>
            <w:shd w:fill="C6F4F9" w:val="clear"/>
            <w:vAlign w:val="center"/>
          </w:tcPr>
          <w:p>
            <w:pPr>
              <w:pStyle w:val="TableContents"/>
              <w:bidi w:val="0"/>
              <w:spacing w:before="0" w:after="283"/>
              <w:jc w:val="both"/>
              <w:rPr>
                <w:sz w:val="20"/>
              </w:rPr>
            </w:pPr>
            <w:r>
              <w:rPr>
                <w:sz w:val="20"/>
              </w:rPr>
              <w:t>Exhibit O</w:t>
            </w:r>
          </w:p>
        </w:tc>
        <w:tc>
          <w:tcPr>
            <w:tcW w:w="4745" w:type="dxa"/>
            <w:tcBorders/>
            <w:shd w:fill="C6F4F9" w:val="clear"/>
            <w:vAlign w:val="center"/>
          </w:tcPr>
          <w:p>
            <w:pPr>
              <w:pStyle w:val="TableContents"/>
              <w:bidi w:val="0"/>
              <w:spacing w:before="0" w:after="283"/>
              <w:jc w:val="both"/>
              <w:rPr>
                <w:sz w:val="20"/>
              </w:rPr>
            </w:pPr>
            <w:r>
              <w:rPr>
                <w:sz w:val="20"/>
              </w:rPr>
              <w:t>Form of Authorization to Share Insurance Information</w:t>
            </w:r>
          </w:p>
        </w:tc>
      </w:tr>
      <w:tr>
        <w:trPr/>
        <w:tc>
          <w:tcPr>
            <w:tcW w:w="875" w:type="dxa"/>
            <w:tcBorders/>
            <w:shd w:fill="FFFFFF" w:val="clear"/>
            <w:vAlign w:val="center"/>
          </w:tcPr>
          <w:p>
            <w:pPr>
              <w:pStyle w:val="TableContents"/>
              <w:bidi w:val="0"/>
              <w:spacing w:before="0" w:after="283"/>
              <w:jc w:val="both"/>
              <w:rPr>
                <w:sz w:val="20"/>
              </w:rPr>
            </w:pPr>
            <w:r>
              <w:rPr>
                <w:sz w:val="20"/>
              </w:rPr>
              <w:t>Exhibit P</w:t>
            </w:r>
          </w:p>
        </w:tc>
        <w:tc>
          <w:tcPr>
            <w:tcW w:w="4745" w:type="dxa"/>
            <w:tcBorders/>
            <w:shd w:fill="FFFFFF" w:val="clear"/>
            <w:vAlign w:val="center"/>
          </w:tcPr>
          <w:p>
            <w:pPr>
              <w:pStyle w:val="TableContents"/>
              <w:bidi w:val="0"/>
              <w:spacing w:before="0" w:after="283"/>
              <w:jc w:val="both"/>
              <w:rPr>
                <w:sz w:val="20"/>
              </w:rPr>
            </w:pPr>
            <w:r>
              <w:rPr>
                <w:sz w:val="20"/>
              </w:rPr>
              <w:t>Form of Notice of Loan Prepayment</w:t>
            </w:r>
          </w:p>
        </w:tc>
      </w:tr>
      <w:tr>
        <w:trPr/>
        <w:tc>
          <w:tcPr>
            <w:tcW w:w="875" w:type="dxa"/>
            <w:tcBorders/>
            <w:shd w:fill="C6F4F9" w:val="clear"/>
            <w:vAlign w:val="center"/>
          </w:tcPr>
          <w:p>
            <w:pPr>
              <w:pStyle w:val="TableContents"/>
              <w:bidi w:val="0"/>
              <w:spacing w:before="0" w:after="283"/>
              <w:jc w:val="both"/>
              <w:rPr>
                <w:sz w:val="20"/>
              </w:rPr>
            </w:pPr>
            <w:r>
              <w:rPr>
                <w:sz w:val="20"/>
              </w:rPr>
              <w:t>Exhibit Q</w:t>
            </w:r>
          </w:p>
        </w:tc>
        <w:tc>
          <w:tcPr>
            <w:tcW w:w="4745" w:type="dxa"/>
            <w:tcBorders/>
            <w:shd w:fill="C6F4F9" w:val="clear"/>
            <w:vAlign w:val="center"/>
          </w:tcPr>
          <w:p>
            <w:pPr>
              <w:pStyle w:val="TableContents"/>
              <w:bidi w:val="0"/>
              <w:spacing w:before="0" w:after="283"/>
              <w:jc w:val="both"/>
              <w:rPr>
                <w:sz w:val="20"/>
              </w:rPr>
            </w:pPr>
            <w:r>
              <w:rPr>
                <w:sz w:val="20"/>
              </w:rPr>
              <w:t>Designated Borrower Request and Assumption Agreement</w:t>
            </w:r>
          </w:p>
        </w:tc>
      </w:tr>
      <w:tr>
        <w:trPr/>
        <w:tc>
          <w:tcPr>
            <w:tcW w:w="875" w:type="dxa"/>
            <w:tcBorders/>
            <w:shd w:fill="FFFFFF" w:val="clear"/>
            <w:vAlign w:val="center"/>
          </w:tcPr>
          <w:p>
            <w:pPr>
              <w:pStyle w:val="TableContents"/>
              <w:bidi w:val="0"/>
              <w:spacing w:before="0" w:after="283"/>
              <w:jc w:val="both"/>
              <w:rPr>
                <w:sz w:val="20"/>
              </w:rPr>
            </w:pPr>
            <w:r>
              <w:rPr>
                <w:sz w:val="20"/>
              </w:rPr>
              <w:t>Exhibit R</w:t>
            </w:r>
          </w:p>
        </w:tc>
        <w:tc>
          <w:tcPr>
            <w:tcW w:w="4745" w:type="dxa"/>
            <w:tcBorders/>
            <w:shd w:fill="FFFFFF" w:val="clear"/>
            <w:vAlign w:val="center"/>
          </w:tcPr>
          <w:p>
            <w:pPr>
              <w:pStyle w:val="TableContents"/>
              <w:bidi w:val="0"/>
              <w:spacing w:before="0" w:after="283"/>
              <w:jc w:val="both"/>
              <w:rPr>
                <w:sz w:val="20"/>
              </w:rPr>
            </w:pPr>
            <w:r>
              <w:rPr>
                <w:sz w:val="20"/>
              </w:rPr>
              <w:t>Designated Borrower Notice</w:t>
            </w:r>
          </w:p>
        </w:tc>
      </w:tr>
    </w:tbl>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AMENDED AND RESTATED CREDIT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AMENDED AND RESTATED CREDIT AGREEMENT</w:t>
      </w:r>
      <w:r>
        <w:rPr>
          <w:rFonts w:ascii="Times New Roman;Times;Serif" w:hAnsi="Times New Roman;Times;Serif"/>
          <w:b w:val="false"/>
          <w:i w:val="false"/>
          <w:caps w:val="false"/>
          <w:smallCaps w:val="false"/>
          <w:sz w:val="20"/>
        </w:rPr>
        <w:t xml:space="preserve"> is entered into as of October 12, 2018, among </w:t>
      </w:r>
      <w:r>
        <w:rPr>
          <w:rFonts w:ascii="Times New Roman;Times;Serif" w:hAnsi="Times New Roman;Times;Serif"/>
          <w:b w:val="false"/>
          <w:i w:val="false"/>
          <w:caps/>
          <w:sz w:val="20"/>
        </w:rPr>
        <w:t>Movado Group, Inc</w:t>
      </w:r>
      <w:r>
        <w:rPr>
          <w:rFonts w:ascii="Times New Roman;Times;Serif" w:hAnsi="Times New Roman;Times;Serif"/>
          <w:b w:val="false"/>
          <w:i w:val="false"/>
          <w:caps w:val="false"/>
          <w:smallCaps w:val="false"/>
          <w:sz w:val="20"/>
        </w:rPr>
        <w:t>., a New York corporation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Movado Group Delaware Holdings Corporation</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MGDH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Movado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val="false"/>
          <w:i w:val="false"/>
          <w:caps w:val="false"/>
          <w:smallCaps w:val="false"/>
          <w:sz w:val="20"/>
          <w:u w:val="single"/>
        </w:rPr>
        <w:t>MLLC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Movado Retail Group, Inc</w:t>
      </w:r>
      <w:r>
        <w:rPr>
          <w:rFonts w:ascii="Times New Roman;Times;Serif" w:hAnsi="Times New Roman;Times;Serif"/>
          <w:b w:val="false"/>
          <w:i w:val="false"/>
          <w:caps w:val="false"/>
          <w:smallCaps w:val="false"/>
          <w:sz w:val="20"/>
        </w:rPr>
        <w:t>., a New Jersey corporation (“</w:t>
      </w:r>
      <w:r>
        <w:rPr>
          <w:rFonts w:ascii="Times New Roman;Times;Serif" w:hAnsi="Times New Roman;Times;Serif"/>
          <w:b w:val="false"/>
          <w:i w:val="false"/>
          <w:caps w:val="false"/>
          <w:smallCaps w:val="false"/>
          <w:sz w:val="20"/>
          <w:u w:val="single"/>
        </w:rPr>
        <w:t>Retail</w:t>
      </w:r>
      <w:r>
        <w:rPr>
          <w:rFonts w:ascii="Times New Roman;Times;Serif" w:hAnsi="Times New Roman;Times;Serif"/>
          <w:b w:val="false"/>
          <w:i w:val="false"/>
          <w:caps w:val="false"/>
          <w:smallCaps w:val="false"/>
          <w:sz w:val="20"/>
        </w:rPr>
        <w:t>”), and MGI LUXURY GROUP GMBH, a limited liability company organized and existing under the laws of Switzerland (“</w:t>
      </w:r>
      <w:r>
        <w:rPr>
          <w:rFonts w:ascii="Times New Roman;Times;Serif" w:hAnsi="Times New Roman;Times;Serif"/>
          <w:b w:val="false"/>
          <w:i w:val="false"/>
          <w:caps w:val="false"/>
          <w:smallCaps w:val="false"/>
          <w:sz w:val="20"/>
          <w:u w:val="single"/>
        </w:rPr>
        <w:t>MGI GmbH</w:t>
      </w:r>
      <w:r>
        <w:rPr>
          <w:rFonts w:ascii="Times New Roman;Times;Serif" w:hAnsi="Times New Roman;Times;Serif"/>
          <w:b w:val="false"/>
          <w:i w:val="false"/>
          <w:caps w:val="false"/>
          <w:smallCaps w:val="false"/>
          <w:sz w:val="20"/>
        </w:rPr>
        <w:t xml:space="preserve">”), certain Subsidiaries of the Parent party hereto from time to time pursuant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Designated Borrower</w:t>
      </w:r>
      <w:r>
        <w:rPr>
          <w:rFonts w:ascii="Times New Roman;Times;Serif" w:hAnsi="Times New Roman;Times;Serif"/>
          <w:b w:val="false"/>
          <w:i w:val="false"/>
          <w:caps w:val="false"/>
          <w:smallCaps w:val="false"/>
          <w:sz w:val="20"/>
        </w:rPr>
        <w:t>” and, together with Parent, MGDH, MLLC, Retail and MGI GmbH,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Guarantors (defined herein), the Lenders (defined herein), and BANK OF AMERICA, N.A., as Administrative Agent, Swingline Lender and L/C Issuer.</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PRELIMINARY STATEMENTS: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Domestic Borrowers, certain Guarantors, the Administrative Agent and certain of the Lenders are parties to that certain Credit Agreement, dated as of January 30, 2015 (as amended, restated, supplemented or otherwise modified and as in effect immediately prior to the Closing Date,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pursuant to which the Lenders thereunder have made loans and other extensions of credit to the Domestic Borrowers thereunder;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Borrowers have requested that the Existing Credit Agreement be amended and restated, and the Lenders and the Administrative Agent are willing to amend and restate the Existing Credit Agreement;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agree that on the Closing Date (defined below), the Existing Credit Agreement and all Schedules and Exhibits thereto are hereby amended and restated in their entirety as set forth herein and in the Schedules and Exhibits hereto and shall remain in full force and effect only as set forth 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herein contained, the parties hereto covenant and agree as follows:</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ACCOUNTING TERMS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val="false"/>
          <w:caps w:val="false"/>
          <w:smallCaps w:val="false"/>
          <w:sz w:val="20"/>
          <w:u w:val="single"/>
        </w:rPr>
        <w:t>Defined Terms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meanings set forth below:</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is exercised by the holder thereof), whether by purchase of such equity or other ownership interest or upon the exercise of an option or warrant for, or conversion of securities into, such equity or other ownership interest, (b) assets of another Person which constitute all or substantially all of the assets of such Person or of a</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division, line of business or other business unit of such Person, excluding any ordinary course Capital Expenditures or replacements of existing assets, or (c) Equity Interests in a joint venture from the joint venture partners of any Loan Party or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this clause (c), after such Acquisition, such Loan Party or Subsidiary shall own at least a majority of the Voting Stock or other controlling ownership interest of such joint venture.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Secured Obligations</w:t>
      </w:r>
      <w:r>
        <w:rPr>
          <w:rFonts w:ascii="Times New Roman;Times;Serif" w:hAnsi="Times New Roman;Times;Serif"/>
          <w:b w:val="false"/>
          <w:i w:val="false"/>
          <w:caps w:val="false"/>
          <w:smallCaps w:val="false"/>
          <w:sz w:val="20"/>
        </w:rPr>
        <w:t xml:space="preserve">” means all obligations arising under Secured Cash Management Agreements and Secured Hedge Agreements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Additional Secured Obligations of a Loan Party shall exclude any Excluded Swap Obligations with respect to such Loan Party.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means Bank of America (or any of its designated branch offices or affiliates) in its capacity as administrative agent under any of the Loan Documents, or any successor administrative agent under any of the Loan Documents.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Agent’s Office</w:t>
      </w:r>
      <w:r>
        <w:rPr>
          <w:rFonts w:ascii="Times New Roman;Times;Serif" w:hAnsi="Times New Roman;Times;Serif"/>
          <w:b w:val="false"/>
          <w:i w:val="false"/>
          <w:caps w:val="false"/>
          <w:smallCaps w:val="false"/>
          <w:sz w:val="20"/>
        </w:rPr>
        <w:t xml:space="preserve">” means, with respect to any currency, the Administrative Agent’s address and, as appropriate, account as set forth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 with respect to such currency, or such other address or account with respect to such currency as the Administrative Agent may from time to time notify the Borrowers and the Lenders.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xml:space="preserve">” means an Administrative Questionnaire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Commitments</w:t>
      </w:r>
      <w:r>
        <w:rPr>
          <w:rFonts w:ascii="Times New Roman;Times;Serif" w:hAnsi="Times New Roman;Times;Serif"/>
          <w:b w:val="false"/>
          <w:i w:val="false"/>
          <w:caps w:val="false"/>
          <w:smallCaps w:val="false"/>
          <w:sz w:val="20"/>
        </w:rPr>
        <w:t xml:space="preserve">” means the Revolving Commitments of all the Lenders.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As of the Seventh Amendment Effective Date, the</w:t>
      </w:r>
      <w:r>
        <w:rPr>
          <w:rFonts w:ascii="Times New Roman;Times;Serif" w:hAnsi="Times New Roman;Times;Serif"/>
          <w:b w:val="false"/>
          <w:i w:val="false"/>
          <w:caps w:val="false"/>
          <w:smallCaps w:val="false"/>
          <w:sz w:val="20"/>
        </w:rPr>
        <w:t xml:space="preserve"> Aggregate Commitments </w:t>
      </w:r>
      <w:r>
        <w:rPr>
          <w:rFonts w:ascii="Times New Roman;Times;Serif" w:hAnsi="Times New Roman;Times;Serif"/>
          <w:b w:val="false"/>
          <w:i w:val="false"/>
          <w:caps w:val="false"/>
          <w:smallCaps w:val="false"/>
          <w:strike/>
          <w:color w:val="FF0000"/>
          <w:sz w:val="20"/>
        </w:rPr>
        <w:t xml:space="preserve">on the Closing Date </w:t>
      </w:r>
      <w:r>
        <w:rPr>
          <w:rFonts w:ascii="Times New Roman;Times;Serif" w:hAnsi="Times New Roman;Times;Serif"/>
          <w:b w:val="false"/>
          <w:i w:val="false"/>
          <w:caps w:val="false"/>
          <w:smallCaps w:val="false"/>
          <w:sz w:val="20"/>
        </w:rPr>
        <w:t>shall be $</w:t>
      </w:r>
      <w:r>
        <w:rPr>
          <w:rFonts w:ascii="Times New Roman;Times;Serif" w:hAnsi="Times New Roman;Times;Serif"/>
          <w:b w:val="false"/>
          <w:i w:val="false"/>
          <w:caps w:val="false"/>
          <w:smallCaps w:val="false"/>
          <w:strike/>
          <w:color w:val="FF0000"/>
          <w:sz w:val="20"/>
        </w:rPr>
        <w:t>100,000,000</w:t>
      </w:r>
      <w:r>
        <w:rPr>
          <w:rFonts w:ascii="Times New Roman;Times;Serif" w:hAnsi="Times New Roman;Times;Serif"/>
          <w:b w:val="false"/>
          <w:i w:val="false"/>
          <w:caps w:val="false"/>
          <w:smallCaps w:val="false"/>
          <w:color w:val="0000FF"/>
          <w:sz w:val="20"/>
          <w:u w:val="single"/>
        </w:rPr>
        <w:t>75,000,000</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Credit Agreement, including all schedules, exhibits and annexes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Currency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11.22</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w:t>
      </w:r>
      <w:r>
        <w:rPr>
          <w:rFonts w:ascii="Times New Roman;Times;Serif" w:hAnsi="Times New Roman;Times;Serif"/>
          <w:b w:val="false"/>
          <w:i w:val="false"/>
          <w:caps w:val="false"/>
          <w:smallCaps w:val="false"/>
          <w:sz w:val="20"/>
        </w:rPr>
        <w:t xml:space="preserve">” means each of the following currencies: Euros, Swiss Francs and Sterling, together with each other Eligible Currency (other than Dollars) that is approved in accordance with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currency that is an Alternative Currency must be an Eligible Currency.</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Daily Rate</w:t>
      </w:r>
      <w:r>
        <w:rPr>
          <w:rFonts w:ascii="Times New Roman;Times;Serif" w:hAnsi="Times New Roman;Times;Serif"/>
          <w:b w:val="false"/>
          <w:i w:val="false"/>
          <w:caps w:val="false"/>
          <w:smallCaps w:val="false"/>
          <w:sz w:val="20"/>
        </w:rPr>
        <w:t>” means, for any day, with respect to any Credit Extension:</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denominated in Sterling, the rate per annum equal to SONIA determined pursuant to the definition thereof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SONIA Adjustment;</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denominated in Swiss Francs, the rate per annum equal to SARON determined pursuant to the definition thereof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SARON Adjustment; and</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Times;Serif" w:hAnsi="Times New Roman;Times;Serif"/>
          <w:b w:val="false"/>
          <w:i w:val="false"/>
          <w:caps w:val="false"/>
          <w:smallCaps w:val="false"/>
          <w:sz w:val="20"/>
          <w:u w:val="single"/>
        </w:rPr>
        <w:t>Section 1.09(a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adjustment (if any) determined by the Administrative Agent and the relevant Lenders pursuant to </w:t>
      </w:r>
      <w:r>
        <w:rPr>
          <w:rFonts w:ascii="Times New Roman;Times;Serif" w:hAnsi="Times New Roman;Times;Serif"/>
          <w:b w:val="false"/>
          <w:i w:val="false"/>
          <w:caps w:val="false"/>
          <w:smallCaps w:val="false"/>
          <w:sz w:val="20"/>
          <w:u w:val="single"/>
        </w:rPr>
        <w:t>Section 1.09(a)</w:t>
      </w:r>
      <w:r>
        <w:rPr>
          <w:rFonts w:ascii="Times New Roman;Times;Serif" w:hAnsi="Times New Roman;Times;Serif"/>
          <w:b w:val="false"/>
          <w:i w:val="false"/>
          <w:caps w:val="false"/>
          <w:smallCaps w:val="false"/>
          <w:sz w:val="20"/>
        </w:rPr>
        <w: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Daily Rate Loan</w:t>
      </w:r>
      <w:r>
        <w:rPr>
          <w:rFonts w:ascii="Times New Roman;Times;Serif" w:hAnsi="Times New Roman;Times;Serif"/>
          <w:b w:val="false"/>
          <w:i w:val="false"/>
          <w:caps w:val="false"/>
          <w:smallCaps w:val="false"/>
          <w:sz w:val="20"/>
        </w:rPr>
        <w:t>” means a Loan that bears interest at a rate based on the definition of “Alternative Currency Daily Rate.” All Alternative Currency Daily Rate Loans must be denominated in an Alternative Currency.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Equivalent</w:t>
      </w:r>
      <w:r>
        <w:rPr>
          <w:rFonts w:ascii="Times New Roman;Times;Serif" w:hAnsi="Times New Roman;Times;Serif"/>
          <w:b w:val="false"/>
          <w:i w:val="false"/>
          <w:caps w:val="false"/>
          <w:smallCaps w:val="false"/>
          <w:sz w:val="20"/>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Loan</w:t>
      </w:r>
      <w:r>
        <w:rPr>
          <w:rFonts w:ascii="Times New Roman;Times;Serif" w:hAnsi="Times New Roman;Times;Serif"/>
          <w:b w:val="false"/>
          <w:i w:val="false"/>
          <w:caps w:val="false"/>
          <w:smallCaps w:val="false"/>
          <w:sz w:val="20"/>
        </w:rPr>
        <w:t>” means an Alternative Currency Daily Rate Loan or an Alternative Currency Term Rate Loan, as applicable.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Term Rate</w:t>
      </w:r>
      <w:r>
        <w:rPr>
          <w:rFonts w:ascii="Times New Roman;Times;Serif" w:hAnsi="Times New Roman;Times;Serif"/>
          <w:b w:val="false"/>
          <w:i w:val="false"/>
          <w:caps w:val="false"/>
          <w:smallCaps w:val="false"/>
          <w:sz w:val="20"/>
        </w:rPr>
        <w:t>” means, for any Interest Period, with respect to any Credit Extension:</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denominated in Euros, the rate per annum equal to the Euro Interbank Offered Rate (“</w:t>
      </w:r>
      <w:r>
        <w:rPr>
          <w:rFonts w:ascii="Times New Roman;Times;Serif" w:hAnsi="Times New Roman;Times;Serif"/>
          <w:b w:val="false"/>
          <w:i w:val="false"/>
          <w:caps w:val="false"/>
          <w:smallCaps w:val="false"/>
          <w:sz w:val="20"/>
          <w:u w:val="single"/>
        </w:rPr>
        <w:t>EURIBOR</w:t>
      </w:r>
      <w:r>
        <w:rPr>
          <w:rFonts w:ascii="Times New Roman;Times;Serif" w:hAnsi="Times New Roman;Times;Serif"/>
          <w:b w:val="false"/>
          <w:i w:val="false"/>
          <w:caps w:val="false"/>
          <w:smallCaps w:val="false"/>
          <w:sz w:val="20"/>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24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Times;Serif" w:hAnsi="Times New Roman;Times;Serif"/>
          <w:b w:val="false"/>
          <w:i w:val="false"/>
          <w:caps w:val="false"/>
          <w:smallCaps w:val="false"/>
          <w:sz w:val="20"/>
          <w:u w:val="single"/>
        </w:rPr>
        <w:t>Section 1.09(a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adjustment (if any) determined by the Administrative Agent and the relevant Lenders pursuant to </w:t>
      </w:r>
      <w:r>
        <w:rPr>
          <w:rFonts w:ascii="Times New Roman;Times;Serif" w:hAnsi="Times New Roman;Times;Serif"/>
          <w:b w:val="false"/>
          <w:i w:val="false"/>
          <w:caps w:val="false"/>
          <w:smallCaps w:val="false"/>
          <w:sz w:val="20"/>
          <w:u w:val="single"/>
        </w:rPr>
        <w:t>Section 1.09(a)</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if any Alternative Currency Term Rate shall be less than zero, such rate shall be deemed zero for purposes of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Term Rate Loan</w:t>
      </w:r>
      <w:r>
        <w:rPr>
          <w:rFonts w:ascii="Times New Roman;Times;Serif" w:hAnsi="Times New Roman;Times;Serif"/>
          <w:b w:val="false"/>
          <w:i w:val="false"/>
          <w:caps w:val="false"/>
          <w:smallCaps w:val="false"/>
          <w:sz w:val="20"/>
        </w:rPr>
        <w:t>” means a Loan that bears interest at a rate based on the definition of “Alternative Currency Term Rate.” All Alternative Currency Term Rate Loans must be denominated in an Alternative Currency.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Authority</w:t>
      </w:r>
      <w:r>
        <w:rPr>
          <w:rFonts w:ascii="Times New Roman;Times;Serif" w:hAnsi="Times New Roman;Times;Serif"/>
          <w:b w:val="false"/>
          <w:i w:val="false"/>
          <w:caps w:val="false"/>
          <w:smallCaps w:val="false"/>
          <w:sz w:val="20"/>
        </w:rPr>
        <w:t>” shall mean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in respect of the Revolving Facility with respect to any Revolving Lender at any time, the percentage (carried out to the ninth decimal place) of the Revolving Facility represented by such Lender’s Revolving Commitment at such time, subject to adjustment as provided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If the Revolving Commitments of all of the Lenders to make Revolving Loans and the obligation of the L/C Issuer to make L/C Credit Extensions have been terminated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or if the Revolving Commitments have expired, then the Applicable Percentage of each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initial Applicable Percentage of each Revolving Lender in respect of the Revolving Facility is set forth opposite the name of such Lender on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xml:space="preserve"> or in the Assignment and Assumption pursuant to which such Revolving Lender becomes a party hereto or in any documentation executed by such Lender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as applicable.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the rate per annum set forth below opposite the applicable “Level” then in effect (based on the Consolidated Net Leverage Ratio), it being understood that the Applicable Rate (a) for Revolving Loans that are Base Rate Loans shall be the percentage set forth under the column “Applicable Rate for Base Rate Loans,” (b) for Revolving Loans that are Term SOFR Loans, and for the Letter of Credit Fees, shall be the percentage set forth under the column “Applicable Rate for Term SOFR Loans and Letter of Credit Fees,” (c) for Revolving Loans that are Alternative Currency Term Rate Loans, shall be the percentage set forth under the column “Applicable Rate for Alternative Currency Term Rate Loans,” (d) for Revolving Loans that are Alternative Currency Daily Rate Loans, shall be the percentage set forth under the column “Applicable Rate for Alternative Currency Daily Rate Loans,” and (e) for the commitment fee shall be the percentage set forth under the column “Commitment Fee”: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500"/>
        <w:gridCol w:w="1497"/>
        <w:gridCol w:w="1949"/>
        <w:gridCol w:w="1864"/>
        <w:gridCol w:w="1857"/>
        <w:gridCol w:w="1435"/>
        <w:gridCol w:w="1103"/>
      </w:tblGrid>
      <w:tr>
        <w:trPr/>
        <w:tc>
          <w:tcPr>
            <w:tcW w:w="500"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Level</w:t>
            </w:r>
          </w:p>
        </w:tc>
        <w:tc>
          <w:tcPr>
            <w:tcW w:w="1497"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Consolidated Net Leverage Ratio</w:t>
            </w:r>
          </w:p>
        </w:tc>
        <w:tc>
          <w:tcPr>
            <w:tcW w:w="1949"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Applicable Rate for Term SOFR Loans and Letter of Credit Fees</w:t>
            </w:r>
          </w:p>
        </w:tc>
        <w:tc>
          <w:tcPr>
            <w:tcW w:w="1864"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sz w:val="20"/>
              </w:rPr>
            </w:pPr>
            <w:r>
              <w:rPr>
                <w:sz w:val="20"/>
              </w:rPr>
              <w:t>Applicable Rate for Alternative Currency Daily Rate Loans</w:t>
            </w:r>
          </w:p>
        </w:tc>
        <w:tc>
          <w:tcPr>
            <w:tcW w:w="1857"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sz w:val="20"/>
              </w:rPr>
            </w:pPr>
            <w:r>
              <w:rPr>
                <w:sz w:val="20"/>
              </w:rPr>
              <w:t>Applicable Rate for Alternative Currency Term Rate Loans</w:t>
            </w:r>
          </w:p>
        </w:tc>
        <w:tc>
          <w:tcPr>
            <w:tcW w:w="143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sz w:val="20"/>
              </w:rPr>
            </w:pPr>
            <w:r>
              <w:rPr>
                <w:sz w:val="20"/>
              </w:rPr>
              <w:t>Applicable Rate for Base Rate Loans</w:t>
            </w:r>
          </w:p>
        </w:tc>
        <w:tc>
          <w:tcPr>
            <w:tcW w:w="1103" w:type="dxa"/>
            <w:tcBorders>
              <w:top w:val="single" w:sz="8" w:space="0" w:color="000000"/>
              <w:right w:val="single" w:sz="8" w:space="0" w:color="000000"/>
            </w:tcBorders>
            <w:tcMar>
              <w:left w:w="0" w:type="dxa"/>
              <w:bottom w:w="0" w:type="dxa"/>
            </w:tcMar>
            <w:vAlign w:val="center"/>
          </w:tcPr>
          <w:p>
            <w:pPr>
              <w:pStyle w:val="TableContents"/>
              <w:bidi w:val="0"/>
              <w:spacing w:before="12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w:t>
            </w:r>
          </w:p>
          <w:p>
            <w:pPr>
              <w:pStyle w:val="TableContents"/>
              <w:bidi w:val="0"/>
              <w:spacing w:before="0" w:after="12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w:t>
            </w:r>
          </w:p>
        </w:tc>
      </w:tr>
      <w:tr>
        <w:trPr/>
        <w:tc>
          <w:tcPr>
            <w:tcW w:w="500" w:type="dxa"/>
            <w:vMerge w:val="continue"/>
            <w:tcBorders>
              <w:top w:val="single" w:sz="8" w:space="0" w:color="000000"/>
              <w:left w:val="single" w:sz="8" w:space="0" w:color="000000"/>
              <w:bottom w:val="single" w:sz="8" w:space="0" w:color="000000"/>
              <w:right w:val="single" w:sz="8" w:space="0" w:color="000000"/>
            </w:tcBorders>
            <w:shd w:fill="FFDEAD" w:val="clear"/>
            <w:vAlign w:val="center"/>
          </w:tcPr>
          <w:p>
            <w:pPr>
              <w:pStyle w:val="Normal"/>
              <w:bidi w:val="0"/>
              <w:jc w:val="left"/>
              <w:rPr/>
            </w:pPr>
            <w:r>
              <w:rPr/>
            </w:r>
          </w:p>
        </w:tc>
        <w:tc>
          <w:tcPr>
            <w:tcW w:w="1497" w:type="dxa"/>
            <w:vMerge w:val="continue"/>
            <w:tcBorders>
              <w:top w:val="single" w:sz="8" w:space="0" w:color="000000"/>
              <w:bottom w:val="single" w:sz="8" w:space="0" w:color="000000"/>
              <w:right w:val="single" w:sz="8" w:space="0" w:color="000000"/>
            </w:tcBorders>
            <w:shd w:fill="FFDEAD" w:val="clear"/>
            <w:tcMar>
              <w:left w:w="0" w:type="dxa"/>
            </w:tcMar>
            <w:vAlign w:val="center"/>
          </w:tcPr>
          <w:p>
            <w:pPr>
              <w:pStyle w:val="Normal"/>
              <w:bidi w:val="0"/>
              <w:jc w:val="left"/>
              <w:rPr/>
            </w:pPr>
            <w:r>
              <w:rPr/>
            </w:r>
          </w:p>
        </w:tc>
        <w:tc>
          <w:tcPr>
            <w:tcW w:w="1949" w:type="dxa"/>
            <w:vMerge w:val="continue"/>
            <w:tcBorders>
              <w:top w:val="single" w:sz="8" w:space="0" w:color="000000"/>
              <w:bottom w:val="single" w:sz="8" w:space="0" w:color="000000"/>
              <w:right w:val="single" w:sz="8" w:space="0" w:color="000000"/>
            </w:tcBorders>
            <w:shd w:fill="FFDEAD" w:val="clear"/>
            <w:tcMar>
              <w:left w:w="0" w:type="dxa"/>
            </w:tcMar>
            <w:vAlign w:val="center"/>
          </w:tcPr>
          <w:p>
            <w:pPr>
              <w:pStyle w:val="Normal"/>
              <w:bidi w:val="0"/>
              <w:jc w:val="left"/>
              <w:rPr/>
            </w:pPr>
            <w:r>
              <w:rPr/>
            </w:r>
          </w:p>
        </w:tc>
        <w:tc>
          <w:tcPr>
            <w:tcW w:w="1864" w:type="dxa"/>
            <w:tcBorders>
              <w:bottom w:val="single" w:sz="8" w:space="0" w:color="000000"/>
              <w:right w:val="single" w:sz="8" w:space="0" w:color="000000"/>
            </w:tcBorders>
            <w:shd w:fill="FFDEAD" w:val="clear"/>
            <w:tcMar>
              <w:top w:w="0" w:type="dxa"/>
              <w:left w:w="0" w:type="dxa"/>
            </w:tcMar>
            <w:vAlign w:val="center"/>
          </w:tcPr>
          <w:p>
            <w:pPr>
              <w:pStyle w:val="TableContents"/>
              <w:bidi w:val="0"/>
              <w:spacing w:before="0" w:after="283"/>
              <w:jc w:val="center"/>
              <w:rPr>
                <w:color w:val="FF0000"/>
              </w:rPr>
            </w:pPr>
            <w:r>
              <w:rPr>
                <w:color w:val="FF0000"/>
              </w:rPr>
              <w:t> </w:t>
            </w:r>
          </w:p>
        </w:tc>
        <w:tc>
          <w:tcPr>
            <w:tcW w:w="1857" w:type="dxa"/>
            <w:tcBorders>
              <w:bottom w:val="single" w:sz="8" w:space="0" w:color="000000"/>
              <w:right w:val="single" w:sz="8" w:space="0" w:color="000000"/>
            </w:tcBorders>
            <w:shd w:fill="FFDEAD" w:val="clear"/>
            <w:tcMar>
              <w:top w:w="0" w:type="dxa"/>
              <w:left w:w="0" w:type="dxa"/>
            </w:tcMar>
            <w:vAlign w:val="center"/>
          </w:tcPr>
          <w:p>
            <w:pPr>
              <w:pStyle w:val="TableContents"/>
              <w:bidi w:val="0"/>
              <w:spacing w:before="0" w:after="283"/>
              <w:jc w:val="center"/>
              <w:rPr>
                <w:color w:val="FF0000"/>
              </w:rPr>
            </w:pPr>
            <w:r>
              <w:rPr>
                <w:color w:val="FF0000"/>
              </w:rPr>
              <w:t> </w:t>
            </w:r>
          </w:p>
        </w:tc>
        <w:tc>
          <w:tcPr>
            <w:tcW w:w="1435" w:type="dxa"/>
            <w:tcBorders>
              <w:bottom w:val="single" w:sz="8" w:space="0" w:color="000000"/>
              <w:right w:val="single" w:sz="8" w:space="0" w:color="000000"/>
            </w:tcBorders>
            <w:shd w:fill="FFDEAD" w:val="clear"/>
            <w:tcMar>
              <w:top w:w="0" w:type="dxa"/>
              <w:left w:w="0" w:type="dxa"/>
            </w:tcMar>
            <w:vAlign w:val="center"/>
          </w:tcPr>
          <w:p>
            <w:pPr>
              <w:pStyle w:val="TableContents"/>
              <w:bidi w:val="0"/>
              <w:spacing w:before="0" w:after="283"/>
              <w:jc w:val="center"/>
              <w:rPr>
                <w:color w:val="FF0000"/>
              </w:rPr>
            </w:pPr>
            <w:r>
              <w:rPr>
                <w:color w:val="FF0000"/>
              </w:rPr>
              <w:t> </w:t>
            </w:r>
          </w:p>
        </w:tc>
        <w:tc>
          <w:tcPr>
            <w:tcW w:w="1103" w:type="dxa"/>
            <w:tcBorders>
              <w:bottom w:val="single" w:sz="8" w:space="0" w:color="000000"/>
              <w:right w:val="single" w:sz="8" w:space="0" w:color="000000"/>
            </w:tcBorders>
            <w:shd w:fill="FFDEAD" w:val="clear"/>
            <w:tcMar>
              <w:top w:w="0" w:type="dxa"/>
              <w:left w:w="0" w:type="dxa"/>
            </w:tcMar>
            <w:vAlign w:val="center"/>
          </w:tcPr>
          <w:p>
            <w:pPr>
              <w:pStyle w:val="TableContents"/>
              <w:bidi w:val="0"/>
              <w:spacing w:before="0" w:after="283"/>
              <w:jc w:val="center"/>
              <w:rPr>
                <w:color w:val="FF0000"/>
              </w:rPr>
            </w:pPr>
            <w:r>
              <w:rPr>
                <w:color w:val="FF0000"/>
              </w:rPr>
              <w:t> </w:t>
            </w:r>
          </w:p>
        </w:tc>
      </w:tr>
      <w:tr>
        <w:trPr/>
        <w:tc>
          <w:tcPr>
            <w:tcW w:w="5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w:t>
            </w:r>
          </w:p>
        </w:tc>
        <w:tc>
          <w:tcPr>
            <w:tcW w:w="1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&lt;</w:t>
            </w:r>
            <w:r>
              <w:rPr>
                <w:rFonts w:ascii="Times New Roman;Times;Serif" w:hAnsi="Times New Roman;Times;Serif"/>
                <w:b w:val="false"/>
                <w:i w:val="false"/>
                <w:caps w:val="false"/>
                <w:smallCaps w:val="false"/>
                <w:sz w:val="20"/>
              </w:rPr>
              <w:t xml:space="preserve"> 0.75:1</w:t>
            </w:r>
          </w:p>
        </w:tc>
        <w:tc>
          <w:tcPr>
            <w:tcW w:w="19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1.000</w:t>
            </w:r>
            <w:r>
              <w:rPr>
                <w:color w:val="0000FF"/>
                <w:sz w:val="20"/>
                <w:u w:val="single"/>
              </w:rPr>
              <w:t>1.100</w:t>
            </w:r>
            <w:r>
              <w:rPr>
                <w:sz w:val="20"/>
              </w:rPr>
              <w:t>%</w:t>
            </w:r>
          </w:p>
        </w:tc>
        <w:tc>
          <w:tcPr>
            <w:tcW w:w="18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1.000</w:t>
            </w:r>
            <w:r>
              <w:rPr>
                <w:color w:val="0000FF"/>
                <w:sz w:val="20"/>
                <w:u w:val="single"/>
              </w:rPr>
              <w:t>1.100</w:t>
            </w:r>
            <w:r>
              <w:rPr>
                <w:sz w:val="20"/>
              </w:rPr>
              <w:t>%</w:t>
            </w:r>
          </w:p>
        </w:tc>
        <w:tc>
          <w:tcPr>
            <w:tcW w:w="18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1.000</w:t>
            </w:r>
            <w:r>
              <w:rPr>
                <w:color w:val="0000FF"/>
                <w:sz w:val="20"/>
                <w:u w:val="single"/>
              </w:rPr>
              <w:t>1.100</w:t>
            </w:r>
            <w:r>
              <w:rPr>
                <w:sz w:val="20"/>
              </w:rPr>
              <w:t>%</w:t>
            </w:r>
          </w:p>
        </w:tc>
        <w:tc>
          <w:tcPr>
            <w:tcW w:w="1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0.000</w:t>
            </w:r>
            <w:r>
              <w:rPr>
                <w:color w:val="0000FF"/>
                <w:sz w:val="20"/>
                <w:u w:val="single"/>
              </w:rPr>
              <w:t>0.100</w:t>
            </w:r>
            <w:r>
              <w:rPr>
                <w:sz w:val="20"/>
              </w:rPr>
              <w:t>%</w:t>
            </w:r>
          </w:p>
        </w:tc>
        <w:tc>
          <w:tcPr>
            <w:tcW w:w="11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0.250%</w:t>
            </w:r>
          </w:p>
        </w:tc>
      </w:tr>
      <w:tr>
        <w:trPr/>
        <w:tc>
          <w:tcPr>
            <w:tcW w:w="5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w:t>
            </w:r>
          </w:p>
        </w:tc>
        <w:tc>
          <w:tcPr>
            <w:tcW w:w="1497" w:type="dxa"/>
            <w:tcBorders>
              <w:bottom w:val="single" w:sz="8" w:space="0" w:color="000000"/>
              <w:right w:val="single" w:sz="8" w:space="0" w:color="000000"/>
            </w:tcBorders>
            <w:tcMar>
              <w:top w:w="0" w:type="dxa"/>
              <w:lef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0.75:1 but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&lt;</w:t>
            </w:r>
            <w:r>
              <w:rPr>
                <w:rFonts w:ascii="Times New Roman;Times;Serif" w:hAnsi="Times New Roman;Times;Serif"/>
                <w:b w:val="false"/>
                <w:i w:val="false"/>
                <w:caps w:val="false"/>
                <w:smallCaps w:val="false"/>
                <w:sz w:val="20"/>
              </w:rPr>
              <w:t xml:space="preserve"> 1.25:1</w:t>
            </w:r>
          </w:p>
        </w:tc>
        <w:tc>
          <w:tcPr>
            <w:tcW w:w="19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1.250</w:t>
            </w:r>
            <w:r>
              <w:rPr>
                <w:color w:val="0000FF"/>
                <w:sz w:val="20"/>
                <w:u w:val="single"/>
              </w:rPr>
              <w:t>1.350</w:t>
            </w:r>
            <w:r>
              <w:rPr>
                <w:sz w:val="20"/>
              </w:rPr>
              <w:t>%</w:t>
            </w:r>
          </w:p>
        </w:tc>
        <w:tc>
          <w:tcPr>
            <w:tcW w:w="18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1.250</w:t>
            </w:r>
            <w:r>
              <w:rPr>
                <w:color w:val="0000FF"/>
                <w:sz w:val="20"/>
                <w:u w:val="single"/>
              </w:rPr>
              <w:t>1.350</w:t>
            </w:r>
            <w:r>
              <w:rPr>
                <w:sz w:val="20"/>
              </w:rPr>
              <w:t>%</w:t>
            </w:r>
          </w:p>
        </w:tc>
        <w:tc>
          <w:tcPr>
            <w:tcW w:w="18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1.250</w:t>
            </w:r>
            <w:r>
              <w:rPr>
                <w:color w:val="0000FF"/>
                <w:sz w:val="20"/>
                <w:u w:val="single"/>
              </w:rPr>
              <w:t>1.350</w:t>
            </w:r>
            <w:r>
              <w:rPr>
                <w:sz w:val="20"/>
              </w:rPr>
              <w:t>%</w:t>
            </w:r>
          </w:p>
        </w:tc>
        <w:tc>
          <w:tcPr>
            <w:tcW w:w="1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0.250</w:t>
            </w:r>
            <w:r>
              <w:rPr>
                <w:color w:val="0000FF"/>
                <w:sz w:val="20"/>
                <w:u w:val="single"/>
              </w:rPr>
              <w:t>0.350</w:t>
            </w:r>
            <w:r>
              <w:rPr>
                <w:sz w:val="20"/>
              </w:rPr>
              <w:t>%</w:t>
            </w:r>
          </w:p>
        </w:tc>
        <w:tc>
          <w:tcPr>
            <w:tcW w:w="11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0.300%</w:t>
            </w:r>
          </w:p>
        </w:tc>
      </w:tr>
      <w:tr>
        <w:trPr/>
        <w:tc>
          <w:tcPr>
            <w:tcW w:w="5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1497" w:type="dxa"/>
            <w:tcBorders>
              <w:bottom w:val="single" w:sz="8" w:space="0" w:color="000000"/>
              <w:right w:val="single" w:sz="8" w:space="0" w:color="000000"/>
            </w:tcBorders>
            <w:tcMar>
              <w:top w:w="0" w:type="dxa"/>
              <w:lef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1.25:1 but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&lt;</w:t>
            </w:r>
            <w:r>
              <w:rPr>
                <w:rFonts w:ascii="Times New Roman;Times;Serif" w:hAnsi="Times New Roman;Times;Serif"/>
                <w:b w:val="false"/>
                <w:i w:val="false"/>
                <w:caps w:val="false"/>
                <w:smallCaps w:val="false"/>
                <w:sz w:val="20"/>
              </w:rPr>
              <w:t xml:space="preserve"> 1.75:1</w:t>
            </w:r>
          </w:p>
        </w:tc>
        <w:tc>
          <w:tcPr>
            <w:tcW w:w="19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1.500</w:t>
            </w:r>
            <w:r>
              <w:rPr>
                <w:color w:val="0000FF"/>
                <w:sz w:val="20"/>
                <w:u w:val="single"/>
              </w:rPr>
              <w:t>1.600</w:t>
            </w:r>
            <w:r>
              <w:rPr>
                <w:sz w:val="20"/>
              </w:rPr>
              <w:t>%</w:t>
            </w:r>
          </w:p>
        </w:tc>
        <w:tc>
          <w:tcPr>
            <w:tcW w:w="18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1.500</w:t>
            </w:r>
            <w:r>
              <w:rPr>
                <w:color w:val="0000FF"/>
                <w:sz w:val="20"/>
                <w:u w:val="single"/>
              </w:rPr>
              <w:t>1.600</w:t>
            </w:r>
            <w:r>
              <w:rPr>
                <w:sz w:val="20"/>
              </w:rPr>
              <w:t>%</w:t>
            </w:r>
          </w:p>
        </w:tc>
        <w:tc>
          <w:tcPr>
            <w:tcW w:w="18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1.500</w:t>
            </w:r>
            <w:r>
              <w:rPr>
                <w:color w:val="0000FF"/>
                <w:sz w:val="20"/>
                <w:u w:val="single"/>
              </w:rPr>
              <w:t>1.600</w:t>
            </w:r>
            <w:r>
              <w:rPr>
                <w:sz w:val="20"/>
              </w:rPr>
              <w:t>%</w:t>
            </w:r>
          </w:p>
        </w:tc>
        <w:tc>
          <w:tcPr>
            <w:tcW w:w="1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0.500</w:t>
            </w:r>
            <w:r>
              <w:rPr>
                <w:color w:val="0000FF"/>
                <w:sz w:val="20"/>
                <w:u w:val="single"/>
              </w:rPr>
              <w:t>0.600</w:t>
            </w:r>
            <w:r>
              <w:rPr>
                <w:sz w:val="20"/>
              </w:rPr>
              <w:t>%</w:t>
            </w:r>
          </w:p>
        </w:tc>
        <w:tc>
          <w:tcPr>
            <w:tcW w:w="11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0.300%</w:t>
            </w:r>
          </w:p>
        </w:tc>
      </w:tr>
      <w:tr>
        <w:trPr/>
        <w:tc>
          <w:tcPr>
            <w:tcW w:w="5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w:t>
            </w:r>
          </w:p>
        </w:tc>
        <w:tc>
          <w:tcPr>
            <w:tcW w:w="1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1.75:1</w:t>
            </w:r>
          </w:p>
        </w:tc>
        <w:tc>
          <w:tcPr>
            <w:tcW w:w="19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1.750</w:t>
            </w:r>
            <w:r>
              <w:rPr>
                <w:color w:val="0000FF"/>
                <w:sz w:val="20"/>
                <w:u w:val="single"/>
              </w:rPr>
              <w:t>1.850</w:t>
            </w:r>
            <w:r>
              <w:rPr>
                <w:sz w:val="20"/>
              </w:rPr>
              <w:t>%</w:t>
            </w:r>
          </w:p>
        </w:tc>
        <w:tc>
          <w:tcPr>
            <w:tcW w:w="18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1.750</w:t>
            </w:r>
            <w:r>
              <w:rPr>
                <w:color w:val="0000FF"/>
                <w:sz w:val="20"/>
                <w:u w:val="single"/>
              </w:rPr>
              <w:t>1.850</w:t>
            </w:r>
            <w:r>
              <w:rPr>
                <w:sz w:val="20"/>
              </w:rPr>
              <w:t>%</w:t>
            </w:r>
          </w:p>
        </w:tc>
        <w:tc>
          <w:tcPr>
            <w:tcW w:w="18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1.750</w:t>
            </w:r>
            <w:r>
              <w:rPr>
                <w:color w:val="0000FF"/>
                <w:sz w:val="20"/>
                <w:u w:val="single"/>
              </w:rPr>
              <w:t>1.850</w:t>
            </w:r>
            <w:r>
              <w:rPr>
                <w:sz w:val="20"/>
              </w:rPr>
              <w:t>%</w:t>
            </w:r>
          </w:p>
        </w:tc>
        <w:tc>
          <w:tcPr>
            <w:tcW w:w="14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strike/>
                <w:color w:val="FF0000"/>
                <w:sz w:val="20"/>
              </w:rPr>
              <w:t>0.750</w:t>
            </w:r>
            <w:r>
              <w:rPr>
                <w:color w:val="0000FF"/>
                <w:sz w:val="20"/>
                <w:u w:val="single"/>
              </w:rPr>
              <w:t>0.850</w:t>
            </w:r>
            <w:r>
              <w:rPr>
                <w:sz w:val="20"/>
              </w:rPr>
              <w:t>%</w:t>
            </w:r>
          </w:p>
        </w:tc>
        <w:tc>
          <w:tcPr>
            <w:tcW w:w="11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0.350%</w:t>
            </w:r>
          </w:p>
        </w:tc>
      </w:tr>
    </w:tbl>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 Compliance Certificate is not delivered when due in accordance with such Section, then, upon the request of the Required Lenders, Level 3 shall apply, as of the first Business Day after the date on which such Compliance Certificate was required to have been delivered and shall remain in effect until the first Business Day following the date on which such Compliance Certificate is delivered.</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in this definition, (a) the determination of the Applicable Rate for any period shall be subject to the provisions of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and (b) the Applicable Rate and Commitment Fee in effect after the </w:t>
      </w:r>
      <w:r>
        <w:rPr>
          <w:rFonts w:ascii="Times New Roman;Times;Serif" w:hAnsi="Times New Roman;Times;Serif"/>
          <w:b w:val="false"/>
          <w:i w:val="false"/>
          <w:caps w:val="false"/>
          <w:smallCaps w:val="false"/>
          <w:strike/>
          <w:color w:val="FF0000"/>
          <w:sz w:val="20"/>
        </w:rPr>
        <w:t>Third</w:t>
      </w:r>
      <w:r>
        <w:rPr>
          <w:rFonts w:ascii="Times New Roman;Times;Serif" w:hAnsi="Times New Roman;Times;Serif"/>
          <w:b w:val="false"/>
          <w:i w:val="false"/>
          <w:caps w:val="false"/>
          <w:smallCaps w:val="false"/>
          <w:color w:val="0000FF"/>
          <w:sz w:val="20"/>
          <w:u w:val="single"/>
        </w:rPr>
        <w:t>Seventh</w:t>
      </w:r>
      <w:r>
        <w:rPr>
          <w:rFonts w:ascii="Times New Roman;Times;Serif" w:hAnsi="Times New Roman;Times;Serif"/>
          <w:b w:val="false"/>
          <w:i w:val="false"/>
          <w:caps w:val="false"/>
          <w:smallCaps w:val="false"/>
          <w:sz w:val="20"/>
        </w:rPr>
        <w:t xml:space="preserve"> Amendment Effective Date shall be set forth in Level 1 until the first Business Day immediately following the date on which a Compliance Certificate is delivered to the Administrative Agent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for the first full fiscal quarter to occur following the </w:t>
      </w:r>
      <w:r>
        <w:rPr>
          <w:rFonts w:ascii="Times New Roman;Times;Serif" w:hAnsi="Times New Roman;Times;Serif"/>
          <w:b w:val="false"/>
          <w:i w:val="false"/>
          <w:caps w:val="false"/>
          <w:smallCaps w:val="false"/>
          <w:strike/>
          <w:color w:val="FF0000"/>
          <w:sz w:val="20"/>
        </w:rPr>
        <w:t>Third</w:t>
      </w:r>
      <w:r>
        <w:rPr>
          <w:rFonts w:ascii="Times New Roman;Times;Serif" w:hAnsi="Times New Roman;Times;Serif"/>
          <w:b w:val="false"/>
          <w:i w:val="false"/>
          <w:caps w:val="false"/>
          <w:smallCaps w:val="false"/>
          <w:color w:val="0000FF"/>
          <w:sz w:val="20"/>
          <w:u w:val="single"/>
        </w:rPr>
        <w:t>Seventh</w:t>
      </w:r>
      <w:r>
        <w:rPr>
          <w:rFonts w:ascii="Times New Roman;Times;Serif" w:hAnsi="Times New Roman;Times;Serif"/>
          <w:b w:val="false"/>
          <w:i w:val="false"/>
          <w:caps w:val="false"/>
          <w:smallCaps w:val="false"/>
          <w:sz w:val="20"/>
        </w:rPr>
        <w:t xml:space="preserve"> Amendment Effective Date. Any adjustment in the Applicable Rate shall be applicable to all Credit Extensions then existing or subsequently made or issued.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Applicant Borrower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Appropriate Lender</w:t>
      </w:r>
      <w:r>
        <w:rPr>
          <w:rFonts w:ascii="Times New Roman;Times;Serif" w:hAnsi="Times New Roman;Times;Serif"/>
          <w:b w:val="false"/>
          <w:i w:val="false"/>
          <w:caps w:val="false"/>
          <w:smallCaps w:val="false"/>
          <w:sz w:val="20"/>
        </w:rPr>
        <w:t xml:space="preserve">” means, at any time, (a) with respect to the Revolving Facility, a Lender that has a Revolving Commitment or holds a Revolving Loan under the Revolving Facility at such time, (b) with respect to the Letter of Credit Sublimit, (i) the L/C Issuer and (ii) if any Letters of Credit have been issued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the Revolving Lenders and (c) with respect to the Swingline Sublimit, (i) the Swingline Lender and (ii) if any Swingline Loans are outstanding pursuant to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the Revolving Lenders.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w:t>
      </w:r>
      <w:r>
        <w:rPr>
          <w:rFonts w:ascii="Times New Roman;Times;Serif" w:hAnsi="Times New Roman;Times;Serif"/>
          <w:b w:val="false"/>
          <w:i w:val="false"/>
          <w:caps w:val="false"/>
          <w:smallCaps w:val="false"/>
          <w:sz w:val="20"/>
        </w:rPr>
        <w:t>” means BofA Securities, Inc., in its capacity as sole lead arranger and sole bookrunner.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any party whose consent is required by </w:t>
      </w:r>
      <w:r>
        <w:rPr>
          <w:rFonts w:ascii="Times New Roman;Times;Serif" w:hAnsi="Times New Roman;Times;Serif"/>
          <w:b w:val="false"/>
          <w:i w:val="false"/>
          <w:caps w:val="false"/>
          <w:smallCaps w:val="false"/>
          <w:sz w:val="20"/>
          <w:u w:val="single"/>
        </w:rPr>
        <w:t>Section 11.06(b)</w:t>
      </w:r>
      <w:r>
        <w:rPr>
          <w:rFonts w:ascii="Times New Roman;Times;Serif" w:hAnsi="Times New Roman;Times;Serif"/>
          <w:b w:val="false"/>
          <w:i w:val="false"/>
          <w:caps w:val="false"/>
          <w:smallCaps w:val="false"/>
          <w:sz w:val="20"/>
        </w:rPr>
        <w:t xml:space="preserve">), and accepted by the Administrative Agent,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or any other form (including an electronic documentation form generated by use of an electronic platform) approved by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Indebtedness</w:t>
      </w:r>
      <w:r>
        <w:rPr>
          <w:rFonts w:ascii="Times New Roman;Times;Serif" w:hAnsi="Times New Roman;Times;Serif"/>
          <w:b w:val="false"/>
          <w:i w:val="false"/>
          <w:caps w:val="false"/>
          <w:smallCaps w:val="false"/>
          <w:sz w:val="20"/>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r>
        <w:rPr>
          <w:rFonts w:ascii="Times New Roman;Times;Serif" w:hAnsi="Times New Roman;Times;Serif"/>
          <w:b/>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Audited Financial Statements</w:t>
      </w:r>
      <w:r>
        <w:rPr>
          <w:rFonts w:ascii="Times New Roman;Times;Serif" w:hAnsi="Times New Roman;Times;Serif"/>
          <w:b w:val="false"/>
          <w:i w:val="false"/>
          <w:caps w:val="false"/>
          <w:smallCaps w:val="false"/>
          <w:sz w:val="20"/>
        </w:rPr>
        <w:t>” means the audited Consolidated balance sheet of the Parent and its Subsidiaries for the fiscal year ended January 31, 2018, and the related Consolidated statements of income or operations, shareholders’ equity and cash flows for such fiscal year of the Parent and its Subsidiaries, including the notes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Authorization to Share Insurance Information</w:t>
      </w:r>
      <w:r>
        <w:rPr>
          <w:rFonts w:ascii="Times New Roman;Times;Serif" w:hAnsi="Times New Roman;Times;Serif"/>
          <w:b w:val="false"/>
          <w:i w:val="false"/>
          <w:caps w:val="false"/>
          <w:smallCaps w:val="false"/>
          <w:sz w:val="20"/>
        </w:rPr>
        <w:t xml:space="preserve">” means the authorization substantially in the form of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 xml:space="preserve"> (or such other form as required by each of the Loan Party’s insurance companies).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Auto-Extension Letter of Credit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2.03(b)(iv)</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 Period</w:t>
      </w:r>
      <w:r>
        <w:rPr>
          <w:rFonts w:ascii="Times New Roman;Times;Serif" w:hAnsi="Times New Roman;Times;Serif"/>
          <w:b w:val="false"/>
          <w:i w:val="false"/>
          <w:caps w:val="false"/>
          <w:smallCaps w:val="false"/>
          <w:sz w:val="20"/>
        </w:rPr>
        <w:t xml:space="preserve">” means the period from and including the Closing Date to the earliest of (i) the Maturity Date, (ii) the date of termination of the Aggregate Commitments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(iii) the date of termination of the Revolving Commitment of each Lender to make Revolving Loans and of the obligation of the L/C Issuer to make L/C Credit Extensions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of America</w:t>
      </w:r>
      <w:r>
        <w:rPr>
          <w:rFonts w:ascii="Times New Roman;Times;Serif" w:hAnsi="Times New Roman;Times;Serif"/>
          <w:b w:val="false"/>
          <w:i w:val="false"/>
          <w:caps w:val="false"/>
          <w:smallCaps w:val="false"/>
          <w:sz w:val="20"/>
        </w:rPr>
        <w:t>” means Bank of America, N.A. and its successors.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w:t>
      </w:r>
      <w:r>
        <w:rPr>
          <w:rFonts w:ascii="Times New Roman;Times;Serif" w:hAnsi="Times New Roman;Times;Serif"/>
          <w:b w:val="false"/>
          <w:i w:val="false"/>
          <w:caps w:val="false"/>
          <w:smallCaps w:val="false"/>
          <w:sz w:val="20"/>
        </w:rPr>
        <w:t xml:space="preserve">” means for any day a fluctuating rate of interest per annum equal to the highest of (a) the Federal Funds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0.50%, (b) the rate of interest in effect for such day as publicly announced from time to time by Bank of America as its “prime rate,” and (c) the Term SOFR for such day plus 1.00%, subject to the interest rate floors set forth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then the Base Rate shall be the greater of clauses (a) and (b) above and shall be determined without reference to clause (c) above.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 Loan</w:t>
      </w:r>
      <w:r>
        <w:rPr>
          <w:rFonts w:ascii="Times New Roman;Times;Serif" w:hAnsi="Times New Roman;Times;Serif"/>
          <w:b w:val="false"/>
          <w:i w:val="false"/>
          <w:caps w:val="false"/>
          <w:smallCaps w:val="false"/>
          <w:sz w:val="20"/>
        </w:rPr>
        <w:t>” means a Revolving Loan that bears interest based on the Base Rate. Base Rate Loans are only available to Domestic Borrowers and Domestic Designated Borrowers and as Loans denominated in Dollars.</w:t>
      </w:r>
    </w:p>
    <w:p>
      <w:pPr>
        <w:pStyle w:val="TextBody"/>
        <w:bidi w:val="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by the Beneficial Ownership Regulation.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has the meaning specified in the introductory paragraph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Revolving Borrowing or a Swingline Borrowing, as the context may require.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a Saturday, Sunday or other day on which commercial banks are authorized to close under the Laws of, or are in fact closed in, the state where the Administrative Agent’s Office is located;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day relates to any interest rate settings as to a Term SOFR Loan denominated in Dollars, any fundings, disbursements, settlements and payments in Dollars in respect of any such Term SOFR Loan, or any other dealings in Dollars to be carried out pursuant to this Agreement in respect of any such Term SOFR Loan, means any such day that is also a U.S. Government Securities Business Day;</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(ii) Swiss Francs, means a day other than when banks are closed for settlement and payments of foreign exchange transactions in Zurich because such day is a Saturday, Sunday or a legal holiday under the laws of Switzerland;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such day relates to any interest rate settings as to an Alternative Currency Loan denominated in a currency other than, Euro, Sterling, or Swiss Francs, means any such day on which dealings in deposits in the relevant currency are conducted by and between banks in the applicable offshore interbank market for such currency; 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such day relates to any fundings, disbursements, settlements and payments in a currency other than Euro, Sterling or Swiss Francs in respect of an Alternative Currency Loan denominated in a currency other than Euro, Sterling or Swiss Francs, or any other dealings in any currency other than Euro, Sterling or Swiss Francs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means, with respect to any Person for any period, any expenditure in respect of the purchase or other acquisition of any fixed or capital asset (excluding normal replacements and maintenance which are properly charged to current operations). For purposes of this definition, the purchase price of equipment that is purchased simultaneously with the trade-in of existing equipment or with insurance proceeds shall be included in Capital Expenditures only to the extent of the gross amount by which such purchase price exceeds the credit granted by the seller of such equipment for the equipment being traded in at such time or the amount of such insurance proceeds, as the case may be.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Leases</w:t>
      </w:r>
      <w:r>
        <w:rPr>
          <w:rFonts w:ascii="Times New Roman;Times;Serif" w:hAnsi="Times New Roman;Times;Serif"/>
          <w:b w:val="false"/>
          <w:i w:val="false"/>
          <w:caps w:val="false"/>
          <w:smallCaps w:val="false"/>
          <w:sz w:val="20"/>
        </w:rPr>
        <w:t>” means all leases that have been or should be, in accordance with GAAP, recorded as capitalized leases.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Collateralize</w:t>
      </w:r>
      <w:r>
        <w:rPr>
          <w:rFonts w:ascii="Times New Roman;Times;Serif" w:hAnsi="Times New Roman;Times;Serif"/>
          <w:b w:val="false"/>
          <w:i w:val="false"/>
          <w:caps w:val="false"/>
          <w:smallCaps w:val="false"/>
          <w:sz w:val="20"/>
        </w:rPr>
        <w:t>” means, to pledge and deposit with or deliver to the Administrative Agent, for the benefit of the L/C Issuer or Swingline Lender (as applicable) or the Lenders, as collateral for L/C Obligations, the Obligations in respect of Swingline Loans, or obligations of the Revolving Lenders to fund participations in respect of either thereof (as the context may require), (a) cash or deposit account balances, (b) backstop letters of credit entered into on terms and from issuers satisfactory to the Administrative Agent and the L/C Issuer and in amounts not less than the amounts specified in this Agreement or otherwise satisfactory to the Administrative Agent and the L/C Issuer, and/or (c) if the Administrative Agent and the L/C Issuer or Swingline Lender shall agree, in their sole discretion, other credit support, in each case, in Dollars and pursuant to documentation in form and substance satisfactory to the Administrative Agent and the L/C Issuer or Swingline Lender (as applicable).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any of the following types of Investments, to the extent owned by each Borrower or any of its Subsidiaries free and clear of all Liens (other than Permitted Liens):</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readily marketable obligations issued or directly and fully guaranteed or insured by the United States or any agency or instrumentality thereof having maturities of not more than three hundred sixty days (360) days from the date of acquisition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full faith and credit of the United States is pledged in support thereof;</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time deposits with, or insured certificates of deposit or bankers’ acceptances of, any commercial bank that (i)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(c) of this definition and (iii) has combined capital and surplus of at least $500,000,000, in each case with maturities of not more than twelve (12) months from the date of acquisition thereof;</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repurchase obligations with a term of not more than 30 days for underlying investments of the types described in clauses (a) and (b) entered into with any bank meeting the qualifications specified in clause (b);</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commercial paper issued by any Person organized under the laws of any state of the United States and rated at least “Prime-1” (or the then equivalent grade) by Moody’s or at least “A-1” (or the then equivalent grade) by S&amp;P, in each case with maturities of not more than nine months from the date of acquisition thereof;</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classified in accordance with GAAP as current assets of any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(c) and (d) of this definition; and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Foreign Subsidiaries, any obligations, instruments or documents reasonably equivalent to any of the foregoing, as set forth in Parent’s investment policy in effect from time to time, a copy of which shall be delivered to, and which shall be reasonably acceptable to,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Agreement</w:t>
      </w:r>
      <w:r>
        <w:rPr>
          <w:rFonts w:ascii="Times New Roman;Times;Serif" w:hAnsi="Times New Roman;Times;Serif"/>
          <w:b w:val="false"/>
          <w:i w:val="false"/>
          <w:caps w:val="false"/>
          <w:smallCaps w:val="false"/>
          <w:sz w:val="20"/>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Bank</w:t>
      </w:r>
      <w:r>
        <w:rPr>
          <w:rFonts w:ascii="Times New Roman;Times;Serif" w:hAnsi="Times New Roman;Times;Serif"/>
          <w:b w:val="false"/>
          <w:i w:val="false"/>
          <w:caps w:val="false"/>
          <w:smallCaps w:val="false"/>
          <w:sz w:val="20"/>
        </w:rPr>
        <w:t xml:space="preserve">” means any Person in its capacity as a party to a Cash Management Agreement that, at the time it enters into a Cash Management Agreement with a Loan Party or any Subsidiary, is a Lender or an Affiliate of a Lender, in its capacity as a party to such Cash Management Agreement (even if such Person ceases to be a Lender or such Person’s Affiliate ceased to be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any of the foregoing to be included as a “Secured Cash Management Agreement” on any date of determination by the Administrative Agent, the applicable Cash Management Bank (other than the Administrative Agent or an Affiliate of the Administrative Agent) and the Parent must have delivered a Secured Party Designation Notice to the Administrative Agent prior to such date of determination.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means a Person that is a “controlled foreign corporation” under Section 957 of the Code.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 Holding Company</w:t>
      </w:r>
      <w:r>
        <w:rPr>
          <w:rFonts w:ascii="Times New Roman;Times;Serif" w:hAnsi="Times New Roman;Times;Serif"/>
          <w:b w:val="false"/>
          <w:i w:val="false"/>
          <w:caps w:val="false"/>
          <w:smallCaps w:val="false"/>
          <w:sz w:val="20"/>
        </w:rPr>
        <w:t>” means any Subsidiary substantially all of the assets of which are one or more CFCs, either directly or indirectly through other entities that are disregarded entities or partnerships for U.S. federal income tax purposes, and all such entities (i) have no material assets (excluding equity interests in each other) other than equity interests of such CFCs, (ii) do not incur, and are not otherwise liable for, any material Indebtedness (other than intercompany indebtedness permitted pursuant to Section 7.02), and (iii) do not conduct any material business or activities other than the ownership of such equity interests and/or receivables and other immaterial assets and activities reasonably related or ancillary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 event or series of events by which: (a) the Parent ceases to own and control, beneficially and of record, directly or indirectly, all outstanding Equity Interests in all Borrowers other than the Parent; (b) members of the Grinberg Family cease to own and control, beneficially and of record, at least thirty percent (30%) of the total voting power of the outstanding Equity Interests of the Parent; (c) any “person” or “group” (as such terms are used in Sections 13(d) and 14(d) of the Exchange Act) is or becomes the beneficial owner (as defined in Rules 13d-3 and 13d-5 under the Exchange Act), directly or indirectly, of a greater percentage of the total voting power of the outstanding Equity Interests of the Parent than the percentage of the total voting power of the outstanding Equity Interests of the Parent then “beneficially owned” (as defined in Rules 13d-3 and 13d-5 of the Exchange Act), directly or indirectly, by the members of the Grinberg Family; (d) Continuing Directors cease to be a majority of the members of the board of directors of the Parent; or (e) all or substantially all of a Borrower’s assets are sold or transferred, other than sale or transfer to another Borrower.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CME” means CME Group Benchmark Administration Limited.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all of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referred to in the Collateral Documents and all of the other property that is or is intended under the terms of the Collateral Documents to be subject to Liens in favor of the Administrative Agent for the benefit of the Secured Parties.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xml:space="preserve">” means, collectively, the Security Agreement, each Joinder Agreement, each of the collateral assignments, security agreements, pledge agreements or other similar agreements delivered to the Administrative Agent pursuant to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and each of the other agreements, instruments or documents that creates or purports to create a Lien in favor of the Administrative Agent for the benefit of the Secured Parties to secure the Secured Obligations.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xml:space="preserve">” means the Commodity Exchange Act (7 U.S.C. §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from time to time, and any successor statute.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w:t>
      </w:r>
      <w:r>
        <w:rPr>
          <w:rFonts w:ascii="Times New Roman;Times;Serif" w:hAnsi="Times New Roman;Times;Serif"/>
          <w:b w:val="false"/>
          <w:i w:val="false"/>
          <w:caps w:val="false"/>
          <w:smallCaps w:val="false"/>
          <w:sz w:val="20"/>
        </w:rPr>
        <w:t>” means this Agreement, any Loan Document and any document, amendment, approval, consent, information, notice, certificate, request, statement, disclosure or authorization related to any Loan Document.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Second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the use, administration of or any conventions associated with SOFR, SONIA, SARON or any proposed SOFR Successor Rate or Successor Rate, as applicable, any conforming changes to the definitions of “Base Rate”, “SOFR”, “SONIA”, “SARON”,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Agreement and any other Loan Document).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w:t>
      </w:r>
      <w:r>
        <w:rPr>
          <w:rFonts w:ascii="Times New Roman;Times;Serif" w:hAnsi="Times New Roman;Times;Serif"/>
          <w:b w:val="false"/>
          <w:i w:val="false"/>
          <w:caps w:val="false"/>
          <w:smallCaps w:val="false"/>
          <w:sz w:val="20"/>
        </w:rPr>
        <w:t>” means, when used with reference to financial statements or financial statement items of the Parent and its Subsidiaries or any other Person, such statements or items on a consolidated basis in accordance with the consolidation principles of GAAP.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Capital Expenditures</w:t>
      </w:r>
      <w:r>
        <w:rPr>
          <w:rFonts w:ascii="Times New Roman;Times;Serif" w:hAnsi="Times New Roman;Times;Serif"/>
          <w:b w:val="false"/>
          <w:i w:val="false"/>
          <w:caps w:val="false"/>
          <w:smallCaps w:val="false"/>
          <w:sz w:val="20"/>
        </w:rPr>
        <w:t>” means, for any period, for the Parent and its Subsidiaries on a Consolidated basis, all Capital Expenditures, but excluding expenditures to the extent made with the proceeds of any Involuntary Disposition used to purchase property that is useful in the business of the Parent and its Subsidiaries.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xml:space="preserve">” means, for any period, the sum of the following determined on a Consolidated basis, without duplication, for the Parent and its Subsidiaries in accordance with GAAP, (a) Consolidated Net Income for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following to the extent deducted in calculating such Consolidated Net Income (without duplication): (i) Consolidated Interest Charges, (ii) the provision for federal, state, local and foreign income taxes payable, (iii) depreciation and amortization expense and (iv) non-cash charges and losses (excluding any such non-cash charges or losses to the extent there were cash charges with respect to such charges and losses in past accounting periods) and (v) business optimization expenses, streamlining costs, exit or disposal costs, facilities closure costs, brand exiting or discontinuance costs and other restructuring, severance or similar charges, reserves or expenses, including losses arising from the disposition of discontinued inventory or excess components and raw materials, non-recurring charges for acquisition-related expenses and non-recurring cash charges or unusual or non-recurring cash expenses and cash losses,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added-back pursuant to this clause (v) shall not exceed $10,000,000 in any four fiscal quarter period, less (c) without duplication and to the extent reflected as a gain or otherwise included in the calculation of Consolidated Net Income for such period, non-cash gains (excluding any such non-cash gains to the extent there were cash gains with respect to such gains in past accounting periods).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Funded Indebtedness</w:t>
      </w:r>
      <w:r>
        <w:rPr>
          <w:rFonts w:ascii="Times New Roman;Times;Serif" w:hAnsi="Times New Roman;Times;Serif"/>
          <w:b w:val="false"/>
          <w:i w:val="false"/>
          <w:caps w:val="false"/>
          <w:smallCaps w:val="false"/>
          <w:sz w:val="20"/>
        </w:rPr>
        <w:t>” means, as of any date of determination, for the Parent and its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the maximum amount available to be drawn under issued and outstanding letters of credit (including standby and commercial), bankers’ acceptances, bank guaranties, surety bonds and similar instruments;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obligations (including, without limitation, earnout obligations) of such Person to pay the deferred purchase price of property or services (other than trade accounts payable in the ordinary course of business),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accrued and unpaid dividends; (g) without duplication, all Guarantees with respect to outstanding Indebtedness of the types specified in clauses (a) through (f) above of Persons other than the Parent or any Subsidiary; and (h) all Indebtedness of the types referred to in clauses (a) through (g) above of any partnership or joint venture (other than a joint venture that is itself a corporation or limited liability company) in which the Parent or a Subsidiary is a general partner or joint venturer, unless such Indebtedness is expressly made non-recourse to the Parent or such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at any date of determination, the net income (or loss) of the Parent and its Subsidiaries on a Consolidated basis for the most recently completed Measurement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Consolidated Net Income shall exclude (a) extraordinary gains and extraordinary losses for such Measurement Period, (b)  any income (or loss) for such Measurement Period of any Person if such Person is not a Subsidiary, except that the Parent’s equity in the net income of any such Person for such Measurement Period shall be included in Consolidated Net Income up to the aggregate amount of cash actually distributed by such Person during such Measurement Period to the Parent or a Subsidiary as a dividend or other distribution, (c) any gain or loss from currency translation gains or losses (or similar charges) or net gains or losses related to currency remeasurements of Indebtedness (including any net loss or gain in respect of Swap Contracts for currency exchange risk entered in relation to Indebtedness), in each case for such Measurement Period and (d) any net income (or loss) of any discontinued operations for such Measurement Period.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Leverage Ratio</w:t>
      </w:r>
      <w:r>
        <w:rPr>
          <w:rFonts w:ascii="Times New Roman;Times;Serif" w:hAnsi="Times New Roman;Times;Serif"/>
          <w:b w:val="false"/>
          <w:i w:val="false"/>
          <w:caps w:val="false"/>
          <w:smallCaps w:val="false"/>
          <w:sz w:val="20"/>
        </w:rPr>
        <w:t xml:space="preserve">” means, as of any date of determination, the ratio of (a) Consolidated Funded Indebtedness as of such date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up to $25,000,000 of unrestricted and unencumbered (except for Liens in favor of the Administrative Agent and Liens permitted under </w:t>
      </w:r>
      <w:r>
        <w:rPr>
          <w:rFonts w:ascii="Times New Roman;Times;Serif" w:hAnsi="Times New Roman;Times;Serif"/>
          <w:b w:val="false"/>
          <w:i w:val="false"/>
          <w:caps w:val="false"/>
          <w:smallCaps w:val="false"/>
          <w:sz w:val="20"/>
          <w:u w:val="single"/>
        </w:rPr>
        <w:t>Section 7.01(j)</w:t>
      </w:r>
      <w:r>
        <w:rPr>
          <w:rFonts w:ascii="Times New Roman;Times;Serif" w:hAnsi="Times New Roman;Times;Serif"/>
          <w:b w:val="false"/>
          <w:i w:val="false"/>
          <w:caps w:val="false"/>
          <w:smallCaps w:val="false"/>
          <w:sz w:val="20"/>
        </w:rPr>
        <w:t>) cash and Cash Equivalents maintained in accounts in the United States to (b) Consolidated EBITDA for the Measurement Period ending on such date, or if a Measurement Period is not ending on such date, the Measurement Period most recently ended prior to such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means any obligation of a Person arising from a guaranty, indemnity or other assurance of payment or performance of any Indebtedness, lease, dividend or other obligation (“</w:t>
      </w:r>
      <w:r>
        <w:rPr>
          <w:rFonts w:ascii="Times New Roman;Times;Serif" w:hAnsi="Times New Roman;Times;Serif"/>
          <w:b w:val="false"/>
          <w:i w:val="false"/>
          <w:caps w:val="false"/>
          <w:smallCaps w:val="false"/>
          <w:sz w:val="20"/>
          <w:u w:val="single"/>
        </w:rPr>
        <w:t>primary obligations</w:t>
      </w:r>
      <w:r>
        <w:rPr>
          <w:rFonts w:ascii="Times New Roman;Times;Serif" w:hAnsi="Times New Roman;Times;Serif"/>
          <w:b w:val="false"/>
          <w:i w:val="false"/>
          <w:caps w:val="false"/>
          <w:smallCaps w:val="false"/>
          <w:sz w:val="20"/>
        </w:rPr>
        <w:t>”) of another obligor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in any manner, whether directly or indirectly, including any obligation of such Person under any (a) guaranty, endorsement, co-making or sale with recourse of an obligation of a primary obligor; (b) obligation to make take-or-pay or similar payments regardless of nonperformance by any other party to an agreement; and (c) arrangement (i) to purchase any primary obligation or security therefor, (ii) to supply funds for the purchase or payment of any primary obligation, (iii) to maintain or assure working capital, equity capital, net worth or solvency of the primary obligor, (iv) to purchase assets or services for the purpose of assuring the ability of the primary obligor to perform a primary obligation, or (v) otherwise to assure or hold harmless the holder of any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obligation against loss in respect thereof. The amount of any Contingent Obligation shall be deemed to be the stated or determinable amount of the primary obligation (or, if less, the maximum amount for which such Person may be liable under the instrument evidencing the Contingent Obligation) or, if not stated or determinable, the maximum reasonably anticipated liability with respect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Directors</w:t>
      </w:r>
      <w:r>
        <w:rPr>
          <w:rFonts w:ascii="Times New Roman;Times;Serif" w:hAnsi="Times New Roman;Times;Serif"/>
          <w:b w:val="false"/>
          <w:i w:val="false"/>
          <w:caps w:val="false"/>
          <w:smallCaps w:val="false"/>
          <w:sz w:val="20"/>
        </w:rPr>
        <w:t>” means the (i) directors of the Parent on the Closing Date and (ii) directors of the Parent whose election by the board of directors of the Parent, or whose nomination for election to the board of directors of the Parent by the shareholders of the Parent, was approved by a vote of at least a majority of the directors of the Parent who were either directors of the Parent on the Closing Date or whose election or nomination was previously so approved.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Cost of Acquisition</w:t>
      </w:r>
      <w:r>
        <w:rPr>
          <w:rFonts w:ascii="Times New Roman;Times;Serif" w:hAnsi="Times New Roman;Times;Serif"/>
          <w:b w:val="false"/>
          <w:i w:val="false"/>
          <w:caps w:val="false"/>
          <w:smallCaps w:val="false"/>
          <w:sz w:val="20"/>
        </w:rPr>
        <w:t>” means, with respect to any Acquisition, as at the date of entering into any agreement therefor, (i) the sum of the following (without duplication): (a) the value of the Equity Interests of any Borrower or any Subsidiary to be transferred in connection with such Acquisition, (b) the amount of any cash and fair market value of other property (excluding property described in clause (a) and the unpaid principal amount of any debt instrument) given as consideration in connection with such Acquisition, (c) the amount (determined by using the face amount or the amount payable at maturity, whichever is greater) of any Indebtedness incurred, assumed or acquired by any Borrower or any Subsidiary in connection with such Acquisition, (d) all additional purchase price amounts in the form of earnouts and other contingent obligations that should be recorded on the financial statements of any Borrower and its Subsidiaries in accordance with GAAP in connection with such Acquisition, (e) all amounts paid in respect of covenants not to compete and consulting agreements that should be recorded on the financial statements of the Parent and its Subsidiaries in accordance with GAAP, and other affiliated contracts in connection with such Acquisition, and (f) the aggregate fair market value of all other consideration given by any Borrower or any Subsidiary in connection with such Acquisition, less (ii) the amount of any cash and the fair market value of any Cash Equivalents received or obtained in connection with such Acquisition. For purposes of determining the Cost of Acquisition for any transaction, the Equity Interests of a Borrower shall be valued in accordance with GAAP.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Extension</w:t>
      </w:r>
      <w:r>
        <w:rPr>
          <w:rFonts w:ascii="Times New Roman;Times;Serif" w:hAnsi="Times New Roman;Times;Serif"/>
          <w:b w:val="false"/>
          <w:i w:val="false"/>
          <w:caps w:val="false"/>
          <w:smallCaps w:val="false"/>
          <w:sz w:val="20"/>
        </w:rPr>
        <w:t>” means each of the following: (a) a Borrowing and (b) an L/C Credit Extension.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and all other liquidation, conservatorship, bankruptcy, assignment for the benefit of creditors, moratorium,</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rearrangement, receivership, insolvency, reorganization, or similar debtor relief Laws of the United States or other applicable jurisdictions from time to time in effect.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that constitutes an Event of Default or that, with the giving of any notice, the passage of time, or both, would be an Event of Default.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for Revolving Loans that are Base Rate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two percent (2%), in each case, to the fullest extent permitted by applicable Law.</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any Lender that (a) has failed to (i) fund all or any portion of its Loans within two (2) Business Days of the date such Loans were required to be funded hereunder unless such Lender notifies the Administrative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Borrowers,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Borrowers, to confirm in writing to the Administrative Agent and the Borrowers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Administrative Agent and the Borrowers),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the effective date of such status, shall be conclusive and binding absent manifest error, and such Lender shall be deemed to be a Defaulting Lender (subject to Section 2.15(b)) as of the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therefor by the Administrative Agent in a written notice of such determination, which shall be delivered by the Administrative Agent to the Borrowers, the L/C Issuer, the Swingline Lender and each other Lender promptly following such determination.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Borrower</w:t>
      </w:r>
      <w:r>
        <w:rPr>
          <w:rFonts w:ascii="Times New Roman;Times;Serif" w:hAnsi="Times New Roman;Times;Serif"/>
          <w:b w:val="false"/>
          <w:i w:val="false"/>
          <w:caps w:val="false"/>
          <w:smallCaps w:val="false"/>
          <w:sz w:val="20"/>
        </w:rPr>
        <w:t>” has the meaning specified in the introductory paragraph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Borrower Request and Assumption Agreement</w:t>
      </w:r>
      <w:r>
        <w:rPr>
          <w:rFonts w:ascii="Times New Roman;Times;Serif" w:hAnsi="Times New Roman;Times;Serif"/>
          <w:b w:val="false"/>
          <w:i w:val="false"/>
          <w:caps w:val="false"/>
          <w:smallCaps w:val="false"/>
          <w:sz w:val="20"/>
        </w:rPr>
        <w:t xml:space="preserve">” means the notice substantially in the form of </w:t>
      </w:r>
      <w:r>
        <w:rPr>
          <w:rFonts w:ascii="Times New Roman;Times;Serif" w:hAnsi="Times New Roman;Times;Serif"/>
          <w:b w:val="false"/>
          <w:i w:val="false"/>
          <w:caps w:val="false"/>
          <w:smallCaps w:val="false"/>
          <w:sz w:val="20"/>
          <w:u w:val="single"/>
        </w:rPr>
        <w:t>Exhibit Q</w:t>
      </w:r>
      <w:r>
        <w:rPr>
          <w:rFonts w:ascii="Times New Roman;Times;Serif" w:hAnsi="Times New Roman;Times;Serif"/>
          <w:b w:val="false"/>
          <w:i w:val="false"/>
          <w:caps w:val="false"/>
          <w:smallCaps w:val="false"/>
          <w:sz w:val="20"/>
        </w:rPr>
        <w:t xml:space="preserve"> attached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Borrower Notice</w:t>
      </w:r>
      <w:r>
        <w:rPr>
          <w:rFonts w:ascii="Times New Roman;Times;Serif" w:hAnsi="Times New Roman;Times;Serif"/>
          <w:b w:val="false"/>
          <w:i w:val="false"/>
          <w:caps w:val="false"/>
          <w:smallCaps w:val="false"/>
          <w:sz w:val="20"/>
        </w:rPr>
        <w:t xml:space="preserve">” means the notice substantially in the form of </w:t>
      </w:r>
      <w:r>
        <w:rPr>
          <w:rFonts w:ascii="Times New Roman;Times;Serif" w:hAnsi="Times New Roman;Times;Serif"/>
          <w:b w:val="false"/>
          <w:i w:val="false"/>
          <w:caps w:val="false"/>
          <w:smallCaps w:val="false"/>
          <w:sz w:val="20"/>
          <w:u w:val="single"/>
        </w:rPr>
        <w:t>Exhibit R</w:t>
      </w:r>
      <w:r>
        <w:rPr>
          <w:rFonts w:ascii="Times New Roman;Times;Serif" w:hAnsi="Times New Roman;Times;Serif"/>
          <w:b w:val="false"/>
          <w:i w:val="false"/>
          <w:caps w:val="false"/>
          <w:smallCaps w:val="false"/>
          <w:sz w:val="20"/>
        </w:rPr>
        <w:t xml:space="preserve"> attached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Jurisdiction</w:t>
      </w:r>
      <w:r>
        <w:rPr>
          <w:rFonts w:ascii="Times New Roman;Times;Serif" w:hAnsi="Times New Roman;Times;Serif"/>
          <w:b w:val="false"/>
          <w:i w:val="false"/>
          <w:caps w:val="false"/>
          <w:smallCaps w:val="false"/>
          <w:sz w:val="20"/>
        </w:rPr>
        <w:t>” means any country or territory to the extent that such country or territory is the subject of any Sanction.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Lender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Dispose</w:t>
      </w:r>
      <w:r>
        <w:rPr>
          <w:rFonts w:ascii="Times New Roman;Times;Serif" w:hAnsi="Times New Roman;Times;Serif"/>
          <w:b w:val="false"/>
          <w:i w:val="false"/>
          <w:caps w:val="false"/>
          <w:smallCaps w:val="false"/>
          <w:sz w:val="20"/>
        </w:rPr>
        <w:t>” means the sale, transfer, license, lease, or other disposition (including any Sale and Leaseback Transaction and any transfer of assets as a result of a division of any Loan Party or any Subsidiary into two or more Persons)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 but excluding any Involuntary Disposition.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lawful money of the United States.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 Equivalent</w:t>
      </w:r>
      <w:r>
        <w:rPr>
          <w:rFonts w:ascii="Times New Roman;Times;Serif" w:hAnsi="Times New Roman;Times;Serif"/>
          <w:b w:val="false"/>
          <w:i w:val="false"/>
          <w:caps w:val="false"/>
          <w:smallCaps w:val="false"/>
          <w:sz w:val="20"/>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Borrower</w:t>
      </w:r>
      <w:r>
        <w:rPr>
          <w:rFonts w:ascii="Times New Roman;Times;Serif" w:hAnsi="Times New Roman;Times;Serif"/>
          <w:b w:val="false"/>
          <w:i w:val="false"/>
          <w:caps w:val="false"/>
          <w:smallCaps w:val="false"/>
          <w:sz w:val="20"/>
        </w:rPr>
        <w:t>” means Parent, MGDH, MLLC, Retail and each Domestic Designated Borrower party hereto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Designated Borrower</w:t>
      </w:r>
      <w:r>
        <w:rPr>
          <w:rFonts w:ascii="Times New Roman;Times;Serif" w:hAnsi="Times New Roman;Times;Serif"/>
          <w:b w:val="false"/>
          <w:i w:val="false"/>
          <w:caps w:val="false"/>
          <w:smallCaps w:val="false"/>
          <w:sz w:val="20"/>
        </w:rPr>
        <w:t xml:space="preserve">” means any Designated Borrower that is organized under the laws of </w:t>
      </w:r>
      <w:r>
        <w:rPr>
          <w:rFonts w:ascii="Times New Roman;Times;Serif" w:hAnsi="Times New Roman;Times;Serif"/>
          <w:b w:val="false"/>
          <w:i w:val="false"/>
          <w:caps w:val="false"/>
          <w:smallCaps w:val="false"/>
          <w:strike/>
          <w:color w:val="FF0000"/>
          <w:sz w:val="20"/>
        </w:rPr>
        <w:t xml:space="preserve">any political subdivision of </w:t>
      </w:r>
      <w:r>
        <w:rPr>
          <w:rFonts w:ascii="Times New Roman;Times;Serif" w:hAnsi="Times New Roman;Times;Serif"/>
          <w:b w:val="false"/>
          <w:i w:val="false"/>
          <w:caps w:val="false"/>
          <w:smallCaps w:val="false"/>
          <w:sz w:val="20"/>
        </w:rPr>
        <w:t>the United States</w:t>
      </w:r>
      <w:r>
        <w:rPr>
          <w:rFonts w:ascii="Times New Roman;Times;Serif" w:hAnsi="Times New Roman;Times;Serif"/>
          <w:b w:val="false"/>
          <w:i w:val="false"/>
          <w:caps w:val="false"/>
          <w:smallCaps w:val="false"/>
          <w:color w:val="0000FF"/>
          <w:sz w:val="20"/>
          <w:u w:val="single"/>
        </w:rPr>
        <w:t>, any state thereof or the District of Columbia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Guarantor</w:t>
      </w:r>
      <w:r>
        <w:rPr>
          <w:rFonts w:ascii="Times New Roman;Times;Serif" w:hAnsi="Times New Roman;Times;Serif"/>
          <w:b w:val="false"/>
          <w:i w:val="false"/>
          <w:caps w:val="false"/>
          <w:smallCaps w:val="false"/>
          <w:sz w:val="20"/>
        </w:rPr>
        <w:t xml:space="preserve">” means any Guarantor that is organized under the laws of </w:t>
      </w:r>
      <w:r>
        <w:rPr>
          <w:rFonts w:ascii="Times New Roman;Times;Serif" w:hAnsi="Times New Roman;Times;Serif"/>
          <w:b w:val="false"/>
          <w:i w:val="false"/>
          <w:caps w:val="false"/>
          <w:smallCaps w:val="false"/>
          <w:strike/>
          <w:color w:val="FF0000"/>
          <w:sz w:val="20"/>
        </w:rPr>
        <w:t xml:space="preserve">any political subdivision of </w:t>
      </w:r>
      <w:r>
        <w:rPr>
          <w:rFonts w:ascii="Times New Roman;Times;Serif" w:hAnsi="Times New Roman;Times;Serif"/>
          <w:b w:val="false"/>
          <w:i w:val="false"/>
          <w:caps w:val="false"/>
          <w:smallCaps w:val="false"/>
          <w:sz w:val="20"/>
        </w:rPr>
        <w:t>the United States</w:t>
      </w:r>
      <w:r>
        <w:rPr>
          <w:rFonts w:ascii="Times New Roman;Times;Serif" w:hAnsi="Times New Roman;Times;Serif"/>
          <w:b w:val="false"/>
          <w:i w:val="false"/>
          <w:caps w:val="false"/>
          <w:smallCaps w:val="false"/>
          <w:color w:val="0000FF"/>
          <w:sz w:val="20"/>
          <w:u w:val="single"/>
        </w:rPr>
        <w:t>, any state thereof or the District of Columbia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Loan Party</w:t>
      </w:r>
      <w:r>
        <w:rPr>
          <w:rFonts w:ascii="Times New Roman;Times;Serif" w:hAnsi="Times New Roman;Times;Serif"/>
          <w:b w:val="false"/>
          <w:i w:val="false"/>
          <w:caps w:val="false"/>
          <w:smallCaps w:val="false"/>
          <w:sz w:val="20"/>
        </w:rPr>
        <w:t xml:space="preserve">” means any Loan Party that is organized under the laws of </w:t>
      </w:r>
      <w:r>
        <w:rPr>
          <w:rFonts w:ascii="Times New Roman;Times;Serif" w:hAnsi="Times New Roman;Times;Serif"/>
          <w:b w:val="false"/>
          <w:i w:val="false"/>
          <w:caps w:val="false"/>
          <w:smallCaps w:val="false"/>
          <w:strike/>
          <w:color w:val="FF0000"/>
          <w:sz w:val="20"/>
        </w:rPr>
        <w:t xml:space="preserve">any political subdivision of </w:t>
      </w:r>
      <w:r>
        <w:rPr>
          <w:rFonts w:ascii="Times New Roman;Times;Serif" w:hAnsi="Times New Roman;Times;Serif"/>
          <w:b w:val="false"/>
          <w:i w:val="false"/>
          <w:caps w:val="false"/>
          <w:smallCaps w:val="false"/>
          <w:sz w:val="20"/>
        </w:rPr>
        <w:t>the United States</w:t>
      </w:r>
      <w:r>
        <w:rPr>
          <w:rFonts w:ascii="Times New Roman;Times;Serif" w:hAnsi="Times New Roman;Times;Serif"/>
          <w:b w:val="false"/>
          <w:i w:val="false"/>
          <w:caps w:val="false"/>
          <w:smallCaps w:val="false"/>
          <w:color w:val="0000FF"/>
          <w:sz w:val="20"/>
          <w:u w:val="single"/>
        </w:rPr>
        <w:t>, any state thereof or the District of Columbia</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xml:space="preserve">” means any Subsidiary that is organized under the laws of </w:t>
      </w:r>
      <w:r>
        <w:rPr>
          <w:rFonts w:ascii="Times New Roman;Times;Serif" w:hAnsi="Times New Roman;Times;Serif"/>
          <w:b w:val="false"/>
          <w:i w:val="false"/>
          <w:caps w:val="false"/>
          <w:smallCaps w:val="false"/>
          <w:strike/>
          <w:color w:val="FF0000"/>
          <w:sz w:val="20"/>
        </w:rPr>
        <w:t xml:space="preserve">any political subdivision of </w:t>
      </w:r>
      <w:r>
        <w:rPr>
          <w:rFonts w:ascii="Times New Roman;Times;Serif" w:hAnsi="Times New Roman;Times;Serif"/>
          <w:b w:val="false"/>
          <w:i w:val="false"/>
          <w:caps w:val="false"/>
          <w:smallCaps w:val="false"/>
          <w:sz w:val="20"/>
        </w:rPr>
        <w:t>the United States</w:t>
      </w:r>
      <w:r>
        <w:rPr>
          <w:rFonts w:ascii="Times New Roman;Times;Serif" w:hAnsi="Times New Roman;Times;Serif"/>
          <w:b w:val="false"/>
          <w:i w:val="false"/>
          <w:caps w:val="false"/>
          <w:smallCaps w:val="false"/>
          <w:color w:val="0000FF"/>
          <w:sz w:val="20"/>
          <w:u w:val="single"/>
        </w:rPr>
        <w:t>, any state thereof or the District of Columbia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Dutch Civil Code</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Burgerlijk Wetboek</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Copy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11.18</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Record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shall have the meanings assigned to them, respectively, by 15 USC §7006, as it may be amended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xml:space="preserve">” means any Person that meets the requirements to be an assignee under Section 11.06 (subject to such consents, if any, as may be required under </w:t>
      </w:r>
      <w:r>
        <w:rPr>
          <w:rFonts w:ascii="Times New Roman;Times;Serif" w:hAnsi="Times New Roman;Times;Serif"/>
          <w:b w:val="false"/>
          <w:i w:val="false"/>
          <w:caps w:val="false"/>
          <w:smallCaps w:val="false"/>
          <w:sz w:val="20"/>
          <w:u w:val="single"/>
        </w:rPr>
        <w:t>Section 11.06(b)(iii)</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Currency</w:t>
      </w:r>
      <w:r>
        <w:rPr>
          <w:rFonts w:ascii="Times New Roman;Times;Serif" w:hAnsi="Times New Roman;Times;Serif"/>
          <w:b w:val="false"/>
          <w:i w:val="false"/>
          <w:caps w:val="false"/>
          <w:smallCaps w:val="false"/>
          <w:sz w:val="20"/>
        </w:rPr>
        <w:t>” means any lawful currency other than Dollars that is readily available, freely transferable and convertible into Dollars in the international interbank market available to the Lenders or the L/C Issuer, as applicable, in such market and as to which a Dollar Equivalent may be readily calculated. If, after the designation by the Lenders or the L/C Issuer,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is imposed in the country in which such currency is issued, which results in, in the reasonable opinion of the Administrative Agent and the L/C Issuer, (a) such currency no longer being readily available, freely transferable and convertible into Dollars, (b) a Dollar Equivalent no longer being readily calculable with respect to such currency, (c) such currency being impracticable for the Lenders or the L/C Issuer, as applicable, to provide or (d) no longer being a currency in which the L/C Issuer is willing to make the applicable Credit Extensions (each of (a), (b), (c), and (d) a “</w:t>
      </w:r>
      <w:r>
        <w:rPr>
          <w:rFonts w:ascii="Times New Roman;Times;Serif" w:hAnsi="Times New Roman;Times;Serif"/>
          <w:b w:val="false"/>
          <w:i w:val="false"/>
          <w:caps w:val="false"/>
          <w:smallCaps w:val="false"/>
          <w:sz w:val="20"/>
          <w:u w:val="single"/>
        </w:rPr>
        <w:t>Disqualifying Event</w:t>
      </w:r>
      <w:r>
        <w:rPr>
          <w:rFonts w:ascii="Times New Roman;Times;Serif" w:hAnsi="Times New Roman;Times;Serif"/>
          <w:b w:val="false"/>
          <w:i w:val="false"/>
          <w:caps w:val="false"/>
          <w:smallCaps w:val="false"/>
          <w:sz w:val="20"/>
        </w:rPr>
        <w:t>”), then the Administrative Agent shall promptly notify the Lenders and the Borrowers, and such country’s currency shall no longer be an Alternative Currency until such time as the Disqualifying Event(s) no longer exists. Within five (5) Business Days after receipt of such notice from the Administrative Agent, the applicable Borrowers shall repay all Loans for which they are liable in such currency to which the Disqualifying Event applies or convert such Loans into the Dollar Equivalent of Revolving Loans in Dollars, subject to the other terms contained herein.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w:t>
      </w:r>
      <w:r>
        <w:rPr>
          <w:rFonts w:ascii="Times New Roman;Times;Serif" w:hAnsi="Times New Roman;Times;Serif"/>
          <w:b w:val="false"/>
          <w:i w:val="false"/>
          <w:caps w:val="false"/>
          <w:smallCaps w:val="false"/>
          <w:sz w:val="20"/>
        </w:rPr>
        <w:t>” means any permit, approval, identification number, license or other authorization required under any Environmental Law.</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rules and the rules and regulations promulgated thereunder.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under common control with any Borrower within the meaning of Section 414(b) or (c) of the Code (and Sections 414(m) and (o) of the Code for purposes of provisions relating to Section 412 of the Code).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xml:space="preserve">”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or notification that a Multiemployer Plan is </w:t>
      </w:r>
      <w:r>
        <w:rPr>
          <w:rFonts w:ascii="Times New Roman;Times;Serif" w:hAnsi="Times New Roman;Times;Serif"/>
          <w:b w:val="false"/>
          <w:i w:val="false"/>
          <w:caps w:val="false"/>
          <w:smallCaps w:val="false"/>
          <w:strike/>
          <w:color w:val="FF0000"/>
          <w:sz w:val="20"/>
        </w:rPr>
        <w:t>in reorganization</w:t>
      </w:r>
      <w:r>
        <w:rPr>
          <w:rFonts w:ascii="Times New Roman;Times;Serif" w:hAnsi="Times New Roman;Times;Serif"/>
          <w:b w:val="false"/>
          <w:i w:val="false"/>
          <w:caps w:val="false"/>
          <w:smallCaps w:val="false"/>
          <w:color w:val="0000FF"/>
          <w:sz w:val="20"/>
          <w:u w:val="single"/>
        </w:rPr>
        <w:t>insolvent</w:t>
      </w:r>
      <w:r>
        <w:rPr>
          <w:rFonts w:ascii="Times New Roman;Times;Serif" w:hAnsi="Times New Roman;Times;Serif"/>
          <w:b w:val="false"/>
          <w:i w:val="false"/>
          <w:caps w:val="false"/>
          <w:smallCaps w:val="false"/>
          <w:sz w:val="20"/>
        </w:rPr>
        <w: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Borrower or any ERISA Affiliate or (i) a failure by any Borrower or any ERISA Affiliate to meet all applicable requirements under the Pension Funding Rules in respect of a Pension Plan, whether or not waived, or the failure by any Borrower or any ERISA Affiliate to make any required contribution to a Multiemployer Plan.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EURIBOR</w:t>
      </w:r>
      <w:r>
        <w:rPr>
          <w:rFonts w:ascii="Times New Roman;Times;Serif" w:hAnsi="Times New Roman;Times;Serif"/>
          <w:b w:val="false"/>
          <w:i w:val="false"/>
          <w:caps w:val="false"/>
          <w:smallCaps w:val="false"/>
          <w:sz w:val="20"/>
        </w:rPr>
        <w:t>” has the meaning specified in clause (a) of the definition of “Alternative Currency Term Rate.”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the single currency of the Participating Member States.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has the meaning specified in the Preamble.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Loan Agreement</w:t>
      </w:r>
      <w:r>
        <w:rPr>
          <w:rFonts w:ascii="Times New Roman;Times;Serif" w:hAnsi="Times New Roman;Times;Serif"/>
          <w:b w:val="false"/>
          <w:i w:val="false"/>
          <w:caps w:val="false"/>
          <w:smallCaps w:val="false"/>
          <w:sz w:val="20"/>
        </w:rPr>
        <w:t>” means that certain Amended and Restated Loan and Security Agreement dated as of July 17, 2009 by and among the Borrowers, the lenders party thereto and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Letters of Credit</w:t>
      </w:r>
      <w:r>
        <w:rPr>
          <w:rFonts w:ascii="Times New Roman;Times;Serif" w:hAnsi="Times New Roman;Times;Serif"/>
          <w:b w:val="false"/>
          <w:i w:val="false"/>
          <w:caps w:val="false"/>
          <w:smallCaps w:val="false"/>
          <w:sz w:val="20"/>
        </w:rPr>
        <w:t xml:space="preserve">” means those certain outstanding standby letters of credit, each listed on </w:t>
      </w:r>
      <w:r>
        <w:rPr>
          <w:rFonts w:ascii="Times New Roman;Times;Serif" w:hAnsi="Times New Roman;Times;Serif"/>
          <w:b w:val="false"/>
          <w:i w:val="false"/>
          <w:caps w:val="false"/>
          <w:smallCaps w:val="false"/>
          <w:sz w:val="20"/>
          <w:u w:val="single"/>
        </w:rPr>
        <w:t xml:space="preserve">Schedule 2.03 </w:t>
      </w:r>
      <w:r>
        <w:rPr>
          <w:rFonts w:ascii="Times New Roman;Times;Serif" w:hAnsi="Times New Roman;Times;Serif"/>
          <w:b w:val="false"/>
          <w:i w:val="false"/>
          <w:caps w:val="false"/>
          <w:smallCaps w:val="false"/>
          <w:sz w:val="20"/>
        </w:rPr>
        <w:t>and outstanding under the Existing Loan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 xml:space="preserve">” means, with respect to any Loan Party, (i) the Equity Interests of any Foreign Subsidiary or CFC Holding Company entitled to vote (within the meaning of Treas. Reg. Section 1.956 2(c)(2)) and directly owned by a Loan Party in excess of 65% of the aggregate outstanding Equity Interests entitled to vote (within the meaning of Treas. Reg. Section 1.956 2(c)(2)) issued by such Foreign Subsidiary or CFC Holding Company, (ii) any rights or interests in or arising under any contract, lease, permit, license, charter or license agreement covering real or personal property, as such, if under the terms of such contract, lease, permit, charter or license agreement, the valid grant of a security interest or Lien therein to Administrative Agent is prohibited or would violate or create a right of termination in favor of any other party thereto under such contract, lease, permit, charter or license agreement, and such prohibition or restriction has not been or is not waived or the consent of the other party to such contract, lease, permit, charter or license agreement has not been or is not otherwise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forgoing exclusion shall in no way be construed (A) to apply if any such prohibition or restriction is unenforceable under the UCC or other applicable Laws or (B) so as to limit, impair or otherwise affect Administrative Agent's unconditional continuing security interests in and Liens upon any rights or interests of any Borrower in or to monies due or to become due under any such contract, lease, permit, license, charter or license agreement (including any “Accounts”, as such term is defined in the UCC), (iii) any assets with respect to which the granting of a pledge or security interest is prohibited by applicable Laws (in each case, except to the extent that such prohibition is unenforceable after giving effect to the applicable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anti-assignment provisions of Article 9 of the UCC), (iv) any application for a trademark that would be invalidated, canceled, voided or abandoned due to the grant and/or enforcement of such security interest or Lien, including all such United States and foreign trademark applications that are based on an intent-to-use the mark in commerce, unless and until such time that the grant and/or enforcement of the security interest or Lien will not cause such trademark to be invalidated, canceled, voided or abandoned, (v) any asset owned by any Loan Party that is subject to a Lien permitted by </w:t>
      </w:r>
      <w:r>
        <w:rPr>
          <w:rFonts w:ascii="Times New Roman;Times;Serif" w:hAnsi="Times New Roman;Times;Serif"/>
          <w:b w:val="false"/>
          <w:i w:val="false"/>
          <w:caps w:val="false"/>
          <w:smallCaps w:val="false"/>
          <w:sz w:val="20"/>
          <w:u w:val="single"/>
        </w:rPr>
        <w:t>Section 7.01(e)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but only to the extent that the grant of such Lien is prohibited by, or violates or creates a right of termination in favor of any other party thereto under the agreements giving rise to or governing such Lien or the obligations secured by such Lien, (vi) any Third Party Funds, (vii) any motor vehicles or other assets subject to certificates of title and (viii) those specifically identified assets as to which the Administrative Agent shall determine in its sole discretion that the cost or other consequence of obtaining a security interest therein or the perfection thereof are excessive in relation to the value afforded to the Secured Parties thereby; p</w:t>
      </w:r>
      <w:r>
        <w:rPr>
          <w:rFonts w:ascii="Times New Roman;Times;Serif" w:hAnsi="Times New Roman;Times;Serif"/>
          <w:b w:val="false"/>
          <w:i w:val="false"/>
          <w:caps w:val="false"/>
          <w:smallCaps w:val="false"/>
          <w:sz w:val="20"/>
          <w:u w:val="single"/>
        </w:rPr>
        <w:t>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Excluded Property shall not include any proceeds, substitutions or replacements of Excluded Property (unless such proceeds, substitutions or replacements would constitute Excluded Property)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if any Excluded Property would otherwise have constituted Collateral, when such property shall cease to be Excluded Property, such property shall be deemed at all times from and thereafter to constitute Collateral.</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xml:space="preserve">” means, with respect to any Loan Party, any Swap Obligation if, and to the extent that, all or a portion of the Guaranty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thereof) by virtue of such Loan Party’s failure for any reason to constitute an “eligible contract participant” as defined in the Commodity Exchange Act (determined after giving effect to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and any other “keepwell”, support or other agreement for the benefit of such Loan Party and any and all guarantees of such Loan Party’s Swap Obligations by other Loan Parties) at the time the Guaranty of such Loan Party, or grant by such Loan Party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Revolving Commitment pursuant to a law in effect on the date on which (i) such Lender acquires such interest in the Loan or Revolving Commitment (other than pursuant to an assignment request by any Borrower under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amounts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such Taxes were payable either to such Lender’s assignor immediately before such Lender </w:t>
      </w:r>
      <w:r>
        <w:rPr>
          <w:rFonts w:ascii="Times New Roman;Times;Serif" w:hAnsi="Times New Roman;Times;Serif"/>
          <w:b w:val="false"/>
          <w:i w:val="false"/>
          <w:caps w:val="false"/>
          <w:smallCaps w:val="false"/>
          <w:strike/>
          <w:color w:val="FF0000"/>
          <w:sz w:val="20"/>
        </w:rPr>
        <w:t>became a party hereto</w:t>
      </w:r>
      <w:r>
        <w:rPr>
          <w:rFonts w:ascii="Times New Roman;Times;Serif" w:hAnsi="Times New Roman;Times;Serif"/>
          <w:b w:val="false"/>
          <w:i w:val="false"/>
          <w:caps w:val="false"/>
          <w:smallCaps w:val="false"/>
          <w:color w:val="0000FF"/>
          <w:sz w:val="20"/>
          <w:u w:val="single"/>
        </w:rPr>
        <w:t>acquired such interest in the Loan or Revolving Commitment</w:t>
      </w:r>
      <w:r>
        <w:rPr>
          <w:rFonts w:ascii="Times New Roman;Times;Serif" w:hAnsi="Times New Roman;Times;Serif"/>
          <w:b w:val="false"/>
          <w:i w:val="false"/>
          <w:caps w:val="false"/>
          <w:smallCaps w:val="false"/>
          <w:sz w:val="20"/>
        </w:rPr>
        <w:t xml:space="preserve">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 xml:space="preserve"> and (d) any U.S. federal withholding Taxes imposed pursuant to FATCA. Notwithstanding anything to the contrary contained in this definition, “Excluded Taxes” shall not include any withholding tax imposed at any time on payments made by or on behalf of a Foreign Borrower to any Lender hereunder or under any other Loan Document, provided that such Lender shall have complied with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Office</w:t>
      </w:r>
      <w:r>
        <w:rPr>
          <w:rFonts w:ascii="Times New Roman;Times;Serif" w:hAnsi="Times New Roman;Times;Serif"/>
          <w:b w:val="false"/>
          <w:i w:val="false"/>
          <w:caps w:val="false"/>
          <w:smallCaps w:val="false"/>
          <w:sz w:val="20"/>
        </w:rPr>
        <w:t>” means the office designated by the applicable Lender through which such Lender will perform its obligations under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Termination Date</w:t>
      </w:r>
      <w:r>
        <w:rPr>
          <w:rFonts w:ascii="Times New Roman;Times;Serif" w:hAnsi="Times New Roman;Times;Serif"/>
          <w:b w:val="false"/>
          <w:i w:val="false"/>
          <w:caps w:val="false"/>
          <w:smallCaps w:val="false"/>
          <w:sz w:val="20"/>
        </w:rPr>
        <w:t>” means the date as of which all of the following shall have occurred: (a) the Aggregate Commitments have terminated, (b) all Obligations have been paid in full (other than contingent indemnification obligations), and (c) all Letters of Credit have terminated or expired (other than Letters of Credit which have been Cash Collateralized in accordance with the terms hereof or as to which other arrangements with respect thereto satisfactory to the Administrative Agent and the L/C Issuer shall have been made).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FASB ASC</w:t>
      </w:r>
      <w:r>
        <w:rPr>
          <w:rFonts w:ascii="Times New Roman;Times;Serif" w:hAnsi="Times New Roman;Times;Serif"/>
          <w:b w:val="false"/>
          <w:i w:val="false"/>
          <w:caps w:val="false"/>
          <w:smallCaps w:val="false"/>
          <w:sz w:val="20"/>
        </w:rPr>
        <w:t>” means the Accounting Standards Codification of the Financial Accounting Standards Board.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Rate as so determined would be less than zero, such rate shall be deemed to be zero for the purposes of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means (a) the letter agreement, dated August 31, 2018, between the Parent, the Administrative Agent and the Arranger, (b) the Second Amendment Fee Letter (as defined in the Second Amendment), (c) the letter agreement, dated September 27, 2021, between the Parent, the Administrative Agent and the Arranger and (d) the PNC Fee Letter (as defined in the Third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Condition Certificate</w:t>
      </w:r>
      <w:r>
        <w:rPr>
          <w:rFonts w:ascii="Times New Roman;Times;Serif" w:hAnsi="Times New Roman;Times;Serif"/>
          <w:b w:val="false"/>
          <w:i w:val="false"/>
          <w:caps w:val="false"/>
          <w:smallCaps w:val="false"/>
          <w:sz w:val="20"/>
        </w:rPr>
        <w:t xml:space="preserve">” means a financial condition certificate substantially in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Borrower Sublimit</w:t>
      </w:r>
      <w:r>
        <w:rPr>
          <w:rFonts w:ascii="Times New Roman;Times;Serif" w:hAnsi="Times New Roman;Times;Serif"/>
          <w:b w:val="false"/>
          <w:i w:val="false"/>
          <w:caps w:val="false"/>
          <w:smallCaps w:val="false"/>
          <w:sz w:val="20"/>
        </w:rPr>
        <w:t>” means an amount equal to $75,000,000. The Foreign Borrower Sublimit is part of, and not in addition to, the Revolving Facility.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Borrower</w:t>
      </w:r>
      <w:r>
        <w:rPr>
          <w:rFonts w:ascii="Times New Roman;Times;Serif" w:hAnsi="Times New Roman;Times;Serif"/>
          <w:b w:val="false"/>
          <w:i w:val="false"/>
          <w:caps w:val="false"/>
          <w:smallCaps w:val="false"/>
          <w:sz w:val="20"/>
        </w:rPr>
        <w:t>” means MGI GmbH, and any Borrower party hereto from time to time organized under the laws of a jurisdiction other than the United States, a State thereof or the District of Columbia.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Government Scheme or Arrangement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5.12(e)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Guarantor</w:t>
      </w:r>
      <w:r>
        <w:rPr>
          <w:rFonts w:ascii="Times New Roman;Times;Serif" w:hAnsi="Times New Roman;Times;Serif"/>
          <w:b w:val="false"/>
          <w:i w:val="false"/>
          <w:caps w:val="false"/>
          <w:smallCaps w:val="false"/>
          <w:sz w:val="20"/>
        </w:rPr>
        <w:t>” means any Guarantor organized under the laws of a jurisdiction other than the United States, a State thereof or the District of Columbia.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Loan Party</w:t>
      </w:r>
      <w:r>
        <w:rPr>
          <w:rFonts w:ascii="Times New Roman;Times;Serif" w:hAnsi="Times New Roman;Times;Serif"/>
          <w:b w:val="false"/>
          <w:i w:val="false"/>
          <w:caps w:val="false"/>
          <w:smallCaps w:val="false"/>
          <w:sz w:val="20"/>
        </w:rPr>
        <w:t>” means a Foreign Borrower or a Foreign Guarantor.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Obligation Loan Documents</w:t>
      </w:r>
      <w:r>
        <w:rPr>
          <w:rFonts w:ascii="Times New Roman;Times;Serif" w:hAnsi="Times New Roman;Times;Serif"/>
          <w:b w:val="false"/>
          <w:i w:val="false"/>
          <w:caps w:val="false"/>
          <w:smallCaps w:val="false"/>
          <w:sz w:val="20"/>
        </w:rPr>
        <w:t>” means all legal documentation entered into between the applicable Foreign Subsidiary and the Foreign Obligation Provider in connection with the Foreign Subsidiary Secured Obligations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Obligation Provider</w:t>
      </w:r>
      <w:r>
        <w:rPr>
          <w:rFonts w:ascii="Times New Roman;Times;Serif" w:hAnsi="Times New Roman;Times;Serif"/>
          <w:b w:val="false"/>
          <w:i w:val="false"/>
          <w:caps w:val="false"/>
          <w:smallCaps w:val="false"/>
          <w:sz w:val="20"/>
        </w:rPr>
        <w:t>” has the meaning set forth in the definition of Foreign Subsidiary Secured Obligations.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Obligor</w:t>
      </w:r>
      <w:r>
        <w:rPr>
          <w:rFonts w:ascii="Times New Roman;Times;Serif" w:hAnsi="Times New Roman;Times;Serif"/>
          <w:b w:val="false"/>
          <w:i w:val="false"/>
          <w:caps w:val="false"/>
          <w:smallCaps w:val="false"/>
          <w:sz w:val="20"/>
        </w:rPr>
        <w:t>” means a Loan Party that is a Foreign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5.12(e)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organized under the laws of a jurisdiction other than the United States, a State thereof or the District of Columbia.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 Secured Obligations</w:t>
      </w:r>
      <w:r>
        <w:rPr>
          <w:rFonts w:ascii="Times New Roman;Times;Serif" w:hAnsi="Times New Roman;Times;Serif"/>
          <w:b w:val="false"/>
          <w:i w:val="false"/>
          <w:caps w:val="false"/>
          <w:smallCaps w:val="false"/>
          <w:sz w:val="20"/>
        </w:rPr>
        <w:t>” means all unpaid principal of, accrued and unpaid interest and fees and reimbursement obligations, and all expenses, reimbursements, indemnities and other obligations under or with respect to, any loans, letters of credit, acceptances, guarantees, overdraft facilities, other credit extensions or accommodations or similar obligations and any other Additional Secured Obligations owing by any Foreign Subsidiary to any Lender or any office, branch or Affiliate of any Lender (each a “</w:t>
      </w:r>
      <w:r>
        <w:rPr>
          <w:rFonts w:ascii="Times New Roman;Times;Serif" w:hAnsi="Times New Roman;Times;Serif"/>
          <w:b w:val="false"/>
          <w:i w:val="false"/>
          <w:caps w:val="false"/>
          <w:smallCaps w:val="false"/>
          <w:sz w:val="20"/>
          <w:u w:val="single"/>
        </w:rPr>
        <w:t>Foreign Obligation Provider</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Fourth Amendment</w:t>
      </w:r>
      <w:r>
        <w:rPr>
          <w:rFonts w:ascii="Times New Roman;Times;Serif" w:hAnsi="Times New Roman;Times;Serif"/>
          <w:b w:val="false"/>
          <w:i w:val="false"/>
          <w:caps w:val="false"/>
          <w:smallCaps w:val="false"/>
          <w:sz w:val="20"/>
        </w:rPr>
        <w:t>” means that certain Amendment No. 4 to Credit Agreement by and among the Loan Parties, the Administrative Agent and the Lenders party thereto dated and effective as of the Fourth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Fourth Amendment Effective Date</w:t>
      </w:r>
      <w:r>
        <w:rPr>
          <w:rFonts w:ascii="Times New Roman;Times;Serif" w:hAnsi="Times New Roman;Times;Serif"/>
          <w:b w:val="false"/>
          <w:i w:val="false"/>
          <w:caps w:val="false"/>
          <w:smallCaps w:val="false"/>
          <w:sz w:val="20"/>
        </w:rPr>
        <w:t>” means August 2, 2022.</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FRB</w:t>
      </w:r>
      <w:r>
        <w:rPr>
          <w:rFonts w:ascii="Times New Roman;Times;Serif" w:hAnsi="Times New Roman;Times;Serif"/>
          <w:b w:val="false"/>
          <w:i w:val="false"/>
          <w:caps w:val="false"/>
          <w:smallCaps w:val="false"/>
          <w:sz w:val="20"/>
        </w:rPr>
        <w:t>” means the Board of Governors of the Federal Reserve System of the United States.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means, at any time there is a Defaulting Lender that is a Revolving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w:t>
      </w:r>
      <w:r>
        <w:rPr>
          <w:rFonts w:ascii="Times New Roman;Times;Serif" w:hAnsi="Times New Roman;Times;Serif"/>
          <w:b w:val="false"/>
          <w:i w:val="false"/>
          <w:caps w:val="false"/>
          <w:smallCaps w:val="false"/>
          <w:sz w:val="20"/>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Indemnity Letter</w:t>
      </w:r>
      <w:r>
        <w:rPr>
          <w:rFonts w:ascii="Times New Roman;Times;Serif" w:hAnsi="Times New Roman;Times;Serif"/>
          <w:b w:val="false"/>
          <w:i w:val="false"/>
          <w:caps w:val="false"/>
          <w:smallCaps w:val="false"/>
          <w:sz w:val="20"/>
        </w:rPr>
        <w:t xml:space="preserve">” means a funding indemnity letter, substantially in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Section 1.03.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w:t>
      </w:r>
      <w:r>
        <w:rPr>
          <w:rFonts w:ascii="Times New Roman;Times;Serif" w:hAnsi="Times New Roman;Times;Serif"/>
          <w:b w:val="false"/>
          <w:i w:val="false"/>
          <w:caps w:val="false"/>
          <w:smallCaps w:val="false"/>
          <w:color w:val="7030A0"/>
          <w:sz w:val="20"/>
        </w:rPr>
        <w:t xml:space="preserve">, </w:t>
      </w:r>
      <w:r>
        <w:rPr>
          <w:rFonts w:ascii="Times New Roman;Times;Serif" w:hAnsi="Times New Roman;Times;Serif"/>
          <w:b w:val="false"/>
          <w:i w:val="false"/>
          <w:caps w:val="false"/>
          <w:smallCaps w:val="false"/>
          <w:sz w:val="20"/>
        </w:rPr>
        <w:t>without limitation, the Financial Conduct Authority, the Prudential Regulation Authority and any supra-national bodies such as the European Union or the European Central Bank).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Grinberg Family</w:t>
      </w:r>
      <w:r>
        <w:rPr>
          <w:rFonts w:ascii="Times New Roman;Times;Serif" w:hAnsi="Times New Roman;Times;Serif"/>
          <w:b w:val="false"/>
          <w:i w:val="false"/>
          <w:caps w:val="false"/>
          <w:smallCaps w:val="false"/>
          <w:sz w:val="20"/>
        </w:rPr>
        <w:t>” means Efraim Grinberg, his siblings and children and the spouses, heirs and estates of any of such foregoing Persons and shall include, without limitation, any trusts of which any such Persons are trustees, either alone or with others, and/or beneficiaries, and any partnerships, limited partnerships, limited liability companies, corporations or other entities of which any of such Persons is a general partner or managing member or otherwise controls such entity directly or indirectly through other entities.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as to any Person, (a) any obligation, contingent or otherwise, of such Person guaranteeing or having the economic effect of guaranteeing any Indebtedness of the kind described in clauses (a) through (g) of the definition thereof or other obligation payable or performable by another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in any manner, whether directly or indirectly, and including any obligation of such Person, direct or indirect, (i) to purchase or pay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clauses (a) through (g) of the definition thereof or other obligation of any other Person, whether or not such Indebtedness or other obligation is assumed or expressly undertaken by such Person (or any right, contingent or otherwise, of any holder of such Indebtedness or obligation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as a verb has a corresponding meaning.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Obligation</w:t>
      </w:r>
      <w:r>
        <w:rPr>
          <w:rFonts w:ascii="Times New Roman;Times;Serif" w:hAnsi="Times New Roman;Times;Serif"/>
          <w:b w:val="false"/>
          <w:i w:val="false"/>
          <w:caps w:val="false"/>
          <w:smallCaps w:val="false"/>
          <w:sz w:val="20"/>
        </w:rPr>
        <w:t xml:space="preserve">s” has the meaning set forth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xml:space="preserve">” means, collectively, (a) the Parent, Nederland BV and the other Subsidiaries of the Parent as are or may from time to time become parties to this Agreement pursuant to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(b) with respect to Additional Secured Obligations owing by any Loan Party, or any of its Subsidiaries or Affiliates, any Foreign Subsidiary Secured Obligations and any Swap Obligation of a Specified Loan Party (determined before giving effect to </w:t>
      </w:r>
      <w:r>
        <w:rPr>
          <w:rFonts w:ascii="Times New Roman;Times;Serif" w:hAnsi="Times New Roman;Times;Serif"/>
          <w:b w:val="false"/>
          <w:i w:val="false"/>
          <w:caps w:val="false"/>
          <w:smallCaps w:val="false"/>
          <w:sz w:val="20"/>
          <w:u w:val="single"/>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10.11</w:t>
      </w:r>
      <w:r>
        <w:rPr>
          <w:rFonts w:ascii="Times New Roman;Times;Serif" w:hAnsi="Times New Roman;Times;Serif"/>
          <w:b w:val="false"/>
          <w:i w:val="false"/>
          <w:caps w:val="false"/>
          <w:smallCaps w:val="false"/>
          <w:sz w:val="20"/>
        </w:rPr>
        <w:t xml:space="preserve">) under the Guaranty, the Domestic Borrowers and (c) with respect to Additional Secured Obligations owing by any Foreign Loan Party, or any of its Subsidiaries or Affiliates that are Foreign Subsidiaries, any Foreign Subsidiary Secured Obligations and any Swap Obligation of a Specified Loan Party (determined before giving effect to </w:t>
      </w:r>
      <w:r>
        <w:rPr>
          <w:rFonts w:ascii="Times New Roman;Times;Serif" w:hAnsi="Times New Roman;Times;Serif"/>
          <w:b w:val="false"/>
          <w:i w:val="false"/>
          <w:caps w:val="false"/>
          <w:smallCaps w:val="false"/>
          <w:sz w:val="20"/>
          <w:u w:val="single"/>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10.11</w:t>
      </w:r>
      <w:r>
        <w:rPr>
          <w:rFonts w:ascii="Times New Roman;Times;Serif" w:hAnsi="Times New Roman;Times;Serif"/>
          <w:b w:val="false"/>
          <w:i w:val="false"/>
          <w:caps w:val="false"/>
          <w:smallCaps w:val="false"/>
          <w:sz w:val="20"/>
        </w:rPr>
        <w:t>) that is a Foreign Loan Party under the Guaranty, the Foreign Borrowers, subject, in the case of each Foreign Loan Party, to the limitations otherwise set forth in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xml:space="preserve">” means, collectively, the Guarantee made by the Guarantors under Article X in favor of the Secured Parties, together with each other guaranty delivered pursuant to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Hedge Bank</w:t>
      </w:r>
      <w:r>
        <w:rPr>
          <w:rFonts w:ascii="Times New Roman;Times;Serif" w:hAnsi="Times New Roman;Times;Serif"/>
          <w:b w:val="false"/>
          <w:i w:val="false"/>
          <w:caps w:val="false"/>
          <w:smallCaps w:val="false"/>
          <w:sz w:val="20"/>
        </w:rPr>
        <w:t>” means any Person in its capacity as a party to a Swap Contract that, at the time it enters into a Swap Contract required by or not prohibited under Article VI or VII, is a Lender or an Affiliate of a Lender, in its capacity as a party to such Swap Contract (even if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 ceases to be a Lender or such Person’s Affiliate ceased to be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for any of the foregoing to be included as a “Secured Hedge Agreement” on any date of determination by the Administrative Agent, the applicable Hedge Bank (other than the Administrative Agent or an Affiliate of the Administrative Agent) and the Parent must have delivered a Secured Party Designation Notice to the Administrative Agent prior to such date of determination.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Honor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international accounting standards within the meaning of IAS Regulation 1606/2002 to the extent applicable to the relevant financial statements delivered under or referred to herein.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as to any Person at a particular time, without duplication, all of the following, whether or not included as indebtedness or liabilities in accordance with GAAP:</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obligations of such Person for borrowed money and all obligations of such Person evidenced by bonds, debentures, notes, loan agreements or other similar instruments;</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maximum amount of all direct or contingent obligations of such Person arising under letters of credit (including standby letters of credit), bankers’ acceptances, bank guaranties and similar instruments;</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net obligations of such Person under any Swap Contract;</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obligations (including, without limitation, all earnout obligations to the extent included as indebtedness or liabilities in accordance with GAAP) of such Person to pay the deferred purchase price of property or services, (other than trade accounts payable in the ordinary course of business and not past due for more than ninety (90) days);</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Attributable Indebtedness in respect of Capitalized Leases and Synthetic Lease Obligations of such Person and all Synthetic Debt of such Person;</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Guarantees of such Person in respect of any of the foregoing.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is expressly made non-recourse to such Person. The amount of any net obligation under any Swap Contract on any date shall be deemed to be the Swap Termination Value thereof as of such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has the meaning specified in Section 11.04(b).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 Certificate</w:t>
      </w:r>
      <w:r>
        <w:rPr>
          <w:rFonts w:ascii="Times New Roman;Times;Serif" w:hAnsi="Times New Roman;Times;Serif"/>
          <w:b w:val="false"/>
          <w:i w:val="false"/>
          <w:caps w:val="false"/>
          <w:smallCaps w:val="false"/>
          <w:sz w:val="20"/>
        </w:rPr>
        <w:t xml:space="preserve">” means the information certificate delivered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has the meaning set forth in the Security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Intercompany Debt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means, (a) as to any Term SOFR Loan, the last day of each Interest Period applicable to such Loan and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any Interest Period for a Term SOFR Loan exceeds three (3) months, the respective dates that fall every three (3) months after the beginning of such Interest Period shall also be Interest Payment Dates, (b) as to any Base Rate Loan or Swingline Loan, the last Business Day of each March, June, September and December and the Maturity Date, (c) as to any Alternative Currency Daily Rate Loan, the last Business Day of each March, June, September and December and the Maturity Date of the Facility under which such Loan was made, and (d) as to any Alternative Currency Term Rate Loan, the last day of each Interest Period applicable to such Loan and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Interest Period for an Alternative Currency Term Rate Loan exceeds three months, the respective dates that fall every three (3) months after the beginning of such Interest Period shall also be Interest Payment Dates.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means, as to each Term SOFR Loan or Alternative Currency Term Rate, the period commencing on the date such Term SOFR Loan or Alternative Currency Term Rate Loan is disbursed or converted to or continued as a Term SOFR Loan or an Alternative Currency Term Rate Loan and ending on the date one (1), three (3) or six (6) months thereafter, as selected by the applicable Borrower in its Loan Notice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or such other period that is twelve (12) months or less requested by the applicable Borrower and consented to by all of the Lenders, in each case, subject to availability for the interest rate applicable to the relevant currency;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Interest Period that begins on the last Business Day of a calendar month (or on a day for which there is no numerically corresponding day in the calendar month at the end of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Period) shall end on the last Business Day of the calendar month at the end of such Interest Period; and</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Interest Period shall extend beyond the Maturity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Involuntary Disposition</w:t>
      </w:r>
      <w:r>
        <w:rPr>
          <w:rFonts w:ascii="Times New Roman;Times;Serif" w:hAnsi="Times New Roman;Times;Serif"/>
          <w:b w:val="false"/>
          <w:i w:val="false"/>
          <w:caps w:val="false"/>
          <w:smallCaps w:val="false"/>
          <w:sz w:val="20"/>
        </w:rPr>
        <w:t>” means any loss of, damage to or destruction of, or any condemnation or other taking for public use of, any property of any Loan Party or any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ISP</w:t>
      </w:r>
      <w:r>
        <w:rPr>
          <w:rFonts w:ascii="Times New Roman;Times;Serif" w:hAnsi="Times New Roman;Times;Serif"/>
          <w:b w:val="false"/>
          <w:i w:val="false"/>
          <w:caps w:val="false"/>
          <w:smallCaps w:val="false"/>
          <w:sz w:val="20"/>
        </w:rPr>
        <w:t>” means the International Standby Practices, International Chamber of Commerce Publication No. 590 (or such later version thereof as may be in effect at the applicable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Documents</w:t>
      </w:r>
      <w:r>
        <w:rPr>
          <w:rFonts w:ascii="Times New Roman;Times;Serif" w:hAnsi="Times New Roman;Times;Serif"/>
          <w:b w:val="false"/>
          <w:i w:val="false"/>
          <w:caps w:val="false"/>
          <w:smallCaps w:val="false"/>
          <w:sz w:val="20"/>
        </w:rPr>
        <w:t>” means with respect to any Letter of Credit, the Letter of Credit Application, and any other document, agreement and instrument entered into by the L/C Issuer and any Borrower (or any Subsidiary) or in favor of the L/C Issuer and relating to such Letter of Credit.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means a joinder agreement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executed and delivered in accordance with the provisions of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11.22</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Landlord Waiver</w:t>
      </w:r>
      <w:r>
        <w:rPr>
          <w:rFonts w:ascii="Times New Roman;Times;Serif" w:hAnsi="Times New Roman;Times;Serif"/>
          <w:b w:val="false"/>
          <w:i w:val="false"/>
          <w:caps w:val="false"/>
          <w:smallCaps w:val="false"/>
          <w:sz w:val="20"/>
        </w:rPr>
        <w:t xml:space="preserve">” means a landlord or warehouse waiver substantially in the form of </w:t>
      </w:r>
      <w:r>
        <w:rPr>
          <w:rFonts w:ascii="Times New Roman;Times;Serif" w:hAnsi="Times New Roman;Times;Serif"/>
          <w:b w:val="false"/>
          <w:i w:val="false"/>
          <w:caps w:val="false"/>
          <w:smallCaps w:val="false"/>
          <w:sz w:val="20"/>
          <w:u w:val="single"/>
        </w:rPr>
        <w:t>Exhibit M</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Advance</w:t>
      </w:r>
      <w:r>
        <w:rPr>
          <w:rFonts w:ascii="Times New Roman;Times;Serif" w:hAnsi="Times New Roman;Times;Serif"/>
          <w:b w:val="false"/>
          <w:i w:val="false"/>
          <w:caps w:val="false"/>
          <w:smallCaps w:val="false"/>
          <w:sz w:val="20"/>
        </w:rPr>
        <w:t>” means, with respect to each Revolving Lender, such Lender’s funding of its participation in any L/C Borrowing in accordance with its Applicable Percentage. All L/C Advances shall be denominated in Dollars.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Borrowing</w:t>
      </w:r>
      <w:r>
        <w:rPr>
          <w:rFonts w:ascii="Times New Roman;Times;Serif" w:hAnsi="Times New Roman;Times;Serif"/>
          <w:b w:val="false"/>
          <w:i w:val="false"/>
          <w:caps w:val="false"/>
          <w:smallCaps w:val="false"/>
          <w:sz w:val="20"/>
        </w:rPr>
        <w:t>” means an extension of credit resulting from a drawing under any Letter of Credit which has not been reimbursed on the date when made or refinanced as a Revolving Borrowing. All L/C Borrowings shall be denominated in Dollars.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xml:space="preserve">” means, as to each L/C Issuer, its obligation to issue Letters of Credit to the Borrowers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in an aggregate principal amount at any one time outstanding not to exceed $15,000,000, as such amount may be adjusted from time to time in accordance with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Credit Extension</w:t>
      </w:r>
      <w:r>
        <w:rPr>
          <w:rFonts w:ascii="Times New Roman;Times;Serif" w:hAnsi="Times New Roman;Times;Serif"/>
          <w:b w:val="false"/>
          <w:i w:val="false"/>
          <w:caps w:val="false"/>
          <w:smallCaps w:val="false"/>
          <w:sz w:val="20"/>
        </w:rPr>
        <w:t>” means, with respect to any Letter of Credit, the issuance thereof or extension of the expiry date thereof, or the increase of the amount thereof.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Issuer</w:t>
      </w:r>
      <w:r>
        <w:rPr>
          <w:rFonts w:ascii="Times New Roman;Times;Serif" w:hAnsi="Times New Roman;Times;Serif"/>
          <w:b w:val="false"/>
          <w:i w:val="false"/>
          <w:caps w:val="false"/>
          <w:smallCaps w:val="false"/>
          <w:sz w:val="20"/>
        </w:rPr>
        <w:t>” means Bank of America, through itself or through one of its designated Affiliates or branch offices, in its capacity as issuer of Letters of Credit hereunder, or any successor issuer of Letters of Credit hereunder.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Obligations</w:t>
      </w:r>
      <w:r>
        <w:rPr>
          <w:rFonts w:ascii="Times New Roman;Times;Serif" w:hAnsi="Times New Roman;Times;Serif"/>
          <w:b w:val="false"/>
          <w:i w:val="false"/>
          <w:caps w:val="false"/>
          <w:smallCaps w:val="false"/>
          <w:sz w:val="20"/>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means each of the Persons identified as a “Lender” on the signature pages hereto, each other Person that becomes a “Lender” in accordance with this Agreement and their successors and assigns, and, unless the context requires otherwise, the Swingline Lender, but excluding any such Person that ceases to be a party hereto pursuant to an Assignment and Assumption. The term “Lender” shall include any Designated Lender.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means, as to the Administrative Agent, the L/C Issuer or any Lender, the office or offices of such Person described as such in such Person’s Administrative Questionnaire, or such other office or offices as such Person may from time to time notify the Borrowers and the Administrative Agent; which office may include any Affiliate of such Person or any domestic or foreign branch of such Person or such Affiliate.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any standby letter of credit issued hereunder. Letters of Credit may be issued in Dollars or in an Alternative Currency.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Application</w:t>
      </w:r>
      <w:r>
        <w:rPr>
          <w:rFonts w:ascii="Times New Roman;Times;Serif" w:hAnsi="Times New Roman;Times;Serif"/>
          <w:b w:val="false"/>
          <w:i w:val="false"/>
          <w:caps w:val="false"/>
          <w:smallCaps w:val="false"/>
          <w:sz w:val="20"/>
        </w:rPr>
        <w:t>” means an application and agreement for the issuance or amendment of a Letter of Credit in the form from time to time in use by the L/C Issuer.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Expiration Date</w:t>
      </w:r>
      <w:r>
        <w:rPr>
          <w:rFonts w:ascii="Times New Roman;Times;Serif" w:hAnsi="Times New Roman;Times;Serif"/>
          <w:b w:val="false"/>
          <w:i w:val="false"/>
          <w:caps w:val="false"/>
          <w:smallCaps w:val="false"/>
          <w:sz w:val="20"/>
        </w:rPr>
        <w:t>” means the day that is seven (7) days prior to the Maturity Date (or, if such day is not a Business Day, the next preceding Business Day).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Fee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2.03(h)</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Sublimit</w:t>
      </w:r>
      <w:r>
        <w:rPr>
          <w:rFonts w:ascii="Times New Roman;Times;Serif" w:hAnsi="Times New Roman;Times;Serif"/>
          <w:b w:val="false"/>
          <w:i w:val="false"/>
          <w:caps w:val="false"/>
          <w:smallCaps w:val="false"/>
          <w:sz w:val="20"/>
        </w:rPr>
        <w:t>” means an amount equal to the lesser of (a) $15,000,000 and (b) the Revolving Facility. The Letter of Credit Sublimit is part of, and not in addition to, the Revolving Facility.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means an extension of credit by a Lender to any Borrower under Article II in the form of a Revolving Loan or a Swingline Loan.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collectively, (a) this Agreement, (b) the Notes, (c) the Guaranty, (d) the Collateral Documents, (e) the Fee Letter, (f) each Issuer Document, (g) each Joinder Agreement, (h) each Designated Borrower Request and Assumption Agreement, (i) the Reaffirmation Agreement, (j) any agreement creating or perfecting rights in Cash Collateral pursuant to the provisions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(k) all other certificates, agreements, documents and instruments executed and delivered, in each case, by or on behalf of any Loan Party pursuant to the foregoing (but specifically excluding any Secured Hedge Agreement or any Secured Cash Management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Notice</w:t>
      </w:r>
      <w:r>
        <w:rPr>
          <w:rFonts w:ascii="Times New Roman;Times;Serif" w:hAnsi="Times New Roman;Times;Serif"/>
          <w:b w:val="false"/>
          <w:i w:val="false"/>
          <w:caps w:val="false"/>
          <w:smallCaps w:val="false"/>
          <w:sz w:val="20"/>
        </w:rPr>
        <w:t xml:space="preserve">” means a notice of (a) a Borrowing, (b) a conversion of Loans from one Type to the other, or (c) a continuation of Term SOFR Loans or Alternative Currency Term Rate Loans, pursuant to Section 2.02(a), which shall be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collectively, the Borrowers, each Designated Borrower and each Guarantor.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Mandatory Cost</w:t>
      </w:r>
      <w:r>
        <w:rPr>
          <w:rFonts w:ascii="Times New Roman;Times;Serif" w:hAnsi="Times New Roman;Times;Serif"/>
          <w:b w:val="false"/>
          <w:i w:val="false"/>
          <w:caps w:val="false"/>
          <w:smallCaps w:val="false"/>
          <w:sz w:val="20"/>
        </w:rPr>
        <w:t>” means any amount incurred periodically by any Lender during the term of the Revolving Facility which constitutes fees, costs or charges imposed on lenders generally in the jurisdiction in which such Lender is domiciled, subject to regulation, or has its Facility Office by any Governmental Authority.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Master Agreement</w:t>
      </w:r>
      <w:r>
        <w:rPr>
          <w:rFonts w:ascii="Times New Roman;Times;Serif" w:hAnsi="Times New Roman;Times;Serif"/>
          <w:b w:val="false"/>
          <w:i w:val="false"/>
          <w:caps w:val="false"/>
          <w:smallCaps w:val="false"/>
          <w:sz w:val="20"/>
        </w:rPr>
        <w:t>” has the meaning set forth in the definition of “Swap Contract.”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a material adverse change in, or a material adverse effect upon, the operations, business, assets, properties, liabilities (actual or contingent) 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condition of the Loan Parties and their respective Subsidiaries, taken as a whole; (b) a material impairment of the rights and remedies of the Administrative Agent or any Lender under any Loan Document, or of the ability of the Loan Parties (taken as a whole) to perform their obligations under any Loan Document; or (c) a material adverse effect upon the legality, validity, binding effect or enforceability against any Loan Party of any Loan Document to which it is a party.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means, with respect to any Person, each contract or agreement (a) to which such Person is a party involving aggregate consideration payable to or by such Person of $10,000,000 or more in any year or (b) otherwise material to the business, condition (financial or otherwise), operations, performance, properties or prospects of such Person or (c) any other contract, agreement, permit or license, written or oral, of any Borrower and its Subsidiaries as to which the breach, nonperformance, cancellation or failure to renew by any party thereto, individually or in the aggregate, could reasonably be expected to have a Material Adverse Effect.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Domestic Subsidiary</w:t>
      </w:r>
      <w:r>
        <w:rPr>
          <w:rFonts w:ascii="Times New Roman;Times;Serif" w:hAnsi="Times New Roman;Times;Serif"/>
          <w:b w:val="false"/>
          <w:i w:val="false"/>
          <w:caps w:val="false"/>
          <w:smallCaps w:val="false"/>
          <w:sz w:val="20"/>
        </w:rPr>
        <w:t xml:space="preserve">” means any Domestic Subsidiary of the Parent that, together with its Subsidiaries, (a) generates more than 5% of Consolidated EBITDA on a Pro Forma Basis for the applicable Measurement Period or (b) has total assets (including equity interests in other Subsidiaries and excluding investments that are eliminated in consolidation) of equal to or greater than 5% of the total assets of the Parent and its Subsidiaries, on a consolidated basis as of the end of such Measurement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at any time there are Domestic Subsidiaries which are not classified as “Material Domestic Subsidiaries” but which collectively (i) generate more than 20% of Consolidated EBITDA on a Pro Forma Basis for the applicable Measurement Period or (ii) have total assets (including equity interests in other Subsidiaries and excluding investments that are eliminated in consolidation) of equal to or greater than 20% of the total assets of the Parent and its Subsidiaries on a Consolidated basis as of the end of such Measurement Period, then the Parent shall promptly designate one or more of such Domestic Subsidiaries as Material Domestic Subsidiaries and cause any such Domestic Subsidiaries to comply with the provisions of Section 6.13 such that, after such Domestic Subsidiaries become Guarantors hereunder, the Domestic Subsidiaries that are not Guarantors shall (A) generate less than 20% of Consolidated EBITDA for the applicable Measurement Period and (B) have total assets of less than 20% of the total assets of the Parent and its Subsidiaries on a Consolidated basis as of the end of such Measurement Period.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October 28</w:t>
      </w:r>
      <w:r>
        <w:rPr>
          <w:rFonts w:ascii="Times New Roman;Times;Serif" w:hAnsi="Times New Roman;Times;Serif"/>
          <w:b w:val="false"/>
          <w:i w:val="false"/>
          <w:caps w:val="false"/>
          <w:smallCaps w:val="false"/>
          <w:color w:val="0000FF"/>
          <w:sz w:val="20"/>
          <w:u w:val="single"/>
        </w:rPr>
        <w:t>July 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2026</w:t>
      </w:r>
      <w:r>
        <w:rPr>
          <w:rFonts w:ascii="Times New Roman;Times;Serif" w:hAnsi="Times New Roman;Times;Serif"/>
          <w:b w:val="false"/>
          <w:i w:val="false"/>
          <w:caps w:val="false"/>
          <w:smallCaps w:val="false"/>
          <w:color w:val="0000FF"/>
          <w:sz w:val="20"/>
          <w:u w:val="single"/>
        </w:rPr>
        <w:t>2031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date is not a Business Day, the Maturity Date shall be the next preceding Business Day.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11.09</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Measurement Period</w:t>
      </w:r>
      <w:r>
        <w:rPr>
          <w:rFonts w:ascii="Times New Roman;Times;Serif" w:hAnsi="Times New Roman;Times;Serif"/>
          <w:b w:val="false"/>
          <w:i w:val="false"/>
          <w:caps w:val="false"/>
          <w:smallCaps w:val="false"/>
          <w:sz w:val="20"/>
        </w:rPr>
        <w:t xml:space="preserve">” means, at any date of determination (a) for purposes of Section 7.11, the period of four (4) fiscal quarters of the Parent ending on such date and (b) for purposes of determining Pro Forma Compliance, the most recently completed four (4) fiscal quarters of the Parent for which financial statements have been delivered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Collateral Amount</w:t>
      </w:r>
      <w:r>
        <w:rPr>
          <w:rFonts w:ascii="Times New Roman;Times;Serif" w:hAnsi="Times New Roman;Times;Serif"/>
          <w:b w:val="false"/>
          <w:i w:val="false"/>
          <w:caps w:val="false"/>
          <w:smallCaps w:val="false"/>
          <w:sz w:val="20"/>
        </w:rPr>
        <w:t>” means, at any time, (a) with respect to Cash Collateral consisting of cash or deposit account balances provided to reduce or eliminate Fronting Exposure during any period when a Lender constitutes a Defaulting Lender, an amount equal to 105%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Fronting Exposure of the L/C Issuer with respect to Letters of Credit issued and outstanding at such time, (b) with respect to Cash Collateral consisting of cash or deposit account balances provided in accordance with the provisions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(a)(iii)</w:t>
      </w:r>
      <w:r>
        <w:rPr>
          <w:rFonts w:ascii="Times New Roman;Times;Serif" w:hAnsi="Times New Roman;Times;Serif"/>
          <w:b w:val="false"/>
          <w:i w:val="false"/>
          <w:caps w:val="false"/>
          <w:smallCaps w:val="false"/>
          <w:sz w:val="20"/>
        </w:rPr>
        <w:t>, an amount equal to 105% of the Outstanding Amount of all L/C Obligations, and (c) otherwise, an amount determined by the Administrative Agent and the L/C Issuer in their sole discretion.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MGDH</w:t>
      </w:r>
      <w:r>
        <w:rPr>
          <w:rFonts w:ascii="Times New Roman;Times;Serif" w:hAnsi="Times New Roman;Times;Serif"/>
          <w:b w:val="false"/>
          <w:i w:val="false"/>
          <w:caps w:val="false"/>
          <w:smallCaps w:val="false"/>
          <w:sz w:val="20"/>
        </w:rPr>
        <w:t>” has the meaning specified in the introductory paragraph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MGI GmbH</w:t>
      </w:r>
      <w:r>
        <w:rPr>
          <w:rFonts w:ascii="Times New Roman;Times;Serif" w:hAnsi="Times New Roman;Times;Serif"/>
          <w:b w:val="false"/>
          <w:i w:val="false"/>
          <w:caps w:val="false"/>
          <w:smallCaps w:val="false"/>
          <w:sz w:val="20"/>
        </w:rPr>
        <w:t>” has the meaning specified in the introductory paragraph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MLLC</w:t>
      </w:r>
      <w:r>
        <w:rPr>
          <w:rFonts w:ascii="Times New Roman;Times;Serif" w:hAnsi="Times New Roman;Times;Serif"/>
          <w:b w:val="false"/>
          <w:i w:val="false"/>
          <w:caps w:val="false"/>
          <w:smallCaps w:val="false"/>
          <w:sz w:val="20"/>
        </w:rPr>
        <w:t>” has the meaning specified in the introductory paragraph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any employee benefit plan of the type described in Section 4001(a)(3) of ERISA, to which any Borrower or any ERISA Affiliate makes or is obligated to make contributions, or during the preceding five (5) plan years, has made or been obligated to make contributions.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Multiple Employer Plan</w:t>
      </w:r>
      <w:r>
        <w:rPr>
          <w:rFonts w:ascii="Times New Roman;Times;Serif" w:hAnsi="Times New Roman;Times;Serif"/>
          <w:b w:val="false"/>
          <w:i w:val="false"/>
          <w:caps w:val="false"/>
          <w:smallCaps w:val="false"/>
          <w:sz w:val="20"/>
        </w:rPr>
        <w:t>” means a Plan which has two or more contributing sponsors (including any Borrower or any ERISA Affiliate) at least two of whom are not under common control, as such a plan is described in Section 4064 of ERISA.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Nederland BV</w:t>
      </w:r>
      <w:r>
        <w:rPr>
          <w:rFonts w:ascii="Times New Roman;Times;Serif" w:hAnsi="Times New Roman;Times;Serif"/>
          <w:b w:val="false"/>
          <w:i w:val="false"/>
          <w:caps w:val="false"/>
          <w:smallCaps w:val="false"/>
          <w:sz w:val="20"/>
        </w:rPr>
        <w:t>” means Movado Group Nederland B.V, a Dutch private company with limited liability (</w:t>
      </w:r>
      <w:r>
        <w:rPr>
          <w:rFonts w:ascii="Times New Roman;Times;Serif" w:hAnsi="Times New Roman;Times;Serif"/>
          <w:b w:val="false"/>
          <w:i/>
          <w:caps w:val="false"/>
          <w:smallCaps w:val="false"/>
          <w:sz w:val="20"/>
        </w:rPr>
        <w:t>besloten vennootschap met beperkte aansprakelijkheid</w:t>
      </w:r>
      <w:r>
        <w:rPr>
          <w:rFonts w:ascii="Times New Roman;Times;Serif" w:hAnsi="Times New Roman;Times;Serif"/>
          <w:b w:val="false"/>
          <w:i w:val="false"/>
          <w:caps w:val="false"/>
          <w:smallCaps w:val="false"/>
          <w:sz w:val="20"/>
        </w:rPr>
        <w:t>) incorporated under the laws of the Netherlands having its corporate seat (</w:t>
      </w:r>
      <w:r>
        <w:rPr>
          <w:rFonts w:ascii="Times New Roman;Times;Serif" w:hAnsi="Times New Roman;Times;Serif"/>
          <w:b w:val="false"/>
          <w:i/>
          <w:caps w:val="false"/>
          <w:smallCaps w:val="false"/>
          <w:sz w:val="20"/>
        </w:rPr>
        <w:t>statutaire zetel</w:t>
      </w:r>
      <w:r>
        <w:rPr>
          <w:rFonts w:ascii="Times New Roman;Times;Serif" w:hAnsi="Times New Roman;Times;Serif"/>
          <w:b w:val="false"/>
          <w:i w:val="false"/>
          <w:caps w:val="false"/>
          <w:smallCaps w:val="false"/>
          <w:sz w:val="20"/>
        </w:rPr>
        <w:t>) in Amsterdam, the Netherlands, its registered office at Basisweg 10, 1043 AP Amsterdam, the Netherlands and registered with the Dutch Chamber of Commerce under 34242495.</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means any Lender that does not approve any consent, waiver or amendment that (a) requires the approval of all Lenders or all affected Lenders in accordance with the terms of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and (b) has been approved by the Required Lenders.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means, at any time, each Lender that is not a Defaulting Lender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Non-Extension Notice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2.03(b)(iv)</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Non-Swiss-Controlled Group Member</w:t>
      </w:r>
      <w:r>
        <w:rPr>
          <w:rFonts w:ascii="Times New Roman;Times;Serif" w:hAnsi="Times New Roman;Times;Serif"/>
          <w:b w:val="false"/>
          <w:i w:val="false"/>
          <w:caps w:val="false"/>
          <w:smallCaps w:val="false"/>
          <w:sz w:val="20"/>
        </w:rPr>
        <w:t>” means, with respect to any Swiss Loan Party, the Parent and all direct and indirect Subsidiaries of the Parent other than those Subsidiaries that are also direct or indirect Subsidiaries of such Swiss Loan Party.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means any Revolving Note.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Loan Prepayment</w:t>
      </w:r>
      <w:r>
        <w:rPr>
          <w:rFonts w:ascii="Times New Roman;Times;Serif" w:hAnsi="Times New Roman;Times;Serif"/>
          <w:b w:val="false"/>
          <w:i w:val="false"/>
          <w:caps w:val="false"/>
          <w:smallCaps w:val="false"/>
          <w:sz w:val="20"/>
        </w:rPr>
        <w:t xml:space="preserve">” means a notice of prepayment with respect to a Loan, which shall be substantially in the form of </w:t>
      </w:r>
      <w:r>
        <w:rPr>
          <w:rFonts w:ascii="Times New Roman;Times;Serif" w:hAnsi="Times New Roman;Times;Serif"/>
          <w:b w:val="false"/>
          <w:i w:val="false"/>
          <w:caps w:val="false"/>
          <w:smallCaps w:val="false"/>
          <w:sz w:val="20"/>
          <w:u w:val="single"/>
        </w:rPr>
        <w:t>Exhibit P</w:t>
      </w:r>
      <w:r>
        <w:rPr>
          <w:rFonts w:ascii="Times New Roman;Times;Serif" w:hAnsi="Times New Roman;Times;Serif"/>
          <w:b w:val="false"/>
          <w:i w:val="false"/>
          <w:caps w:val="false"/>
          <w:smallCaps w:val="false"/>
          <w:sz w:val="20"/>
        </w:rPr>
        <w:t xml:space="preserve"> or such other form as may be approved by the Administrative Agent (including any form on an electronic platform or electronic</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transmission system as shall be approved by the Administrative Agent), appropriately completed and signed by a Responsible Officer.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means (a) all advances to, and debts, liabilities, obligations, covenants and duties of, any Loan Party arising under any Loan Document or otherwise with respect to any Loan, or Letter of Credit and (b) all obligations for any costs and expenses incurred in connection with enforcement and collection of the foregoing, including the fees, charges and disbursements of counsel, arising under any Loan Document,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pursuant to any proceeding under any Debtor Relief Laws naming such Person as the debtor in such proceeding, regardless of whether such interest and fees are allowed claims in such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Obligations of a Loan Party shall exclude any Excluded Swap Obligations with respect to such Loan Party.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United States Department of the Treasury.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xml:space="preserve">” means a certificate substantially the form of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 Documents</w:t>
      </w:r>
      <w:r>
        <w:rPr>
          <w:rFonts w:ascii="Times New Roman;Times;Serif" w:hAnsi="Times New Roman;Times;Serif"/>
          <w:b w:val="false"/>
          <w:i w:val="false"/>
          <w:caps w:val="false"/>
          <w:smallCaps w:val="false"/>
          <w:sz w:val="20"/>
        </w:rPr>
        <w:t>” means, (a) with respect to any corporation, the certificate or articles of incorporation and the bylaws (or equivalent or comparable constitutive documents with respect to any non-U.S. jurisdiction and including, with respect to a Swiss Loan Party, (i) a copy of a recent and up-to-date extract from the relevant commercial register pertaining to it certified by such commercial register and (ii) a recent and up-to-date copy of its articles of association, certified by the relevant commercial register);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3.06).</w:t>
      </w:r>
    </w:p>
    <w:p>
      <w:pPr>
        <w:pStyle w:val="TextBody"/>
        <w:bidi w:val="0"/>
        <w:spacing w:before="0" w:after="24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Outbound Investment Rules” means the regulations administered and enforced, together with any related public guidance issued, by the United States Treasury Department under U.S. Executive Order 14105 of August 9, 2023, or any similar law or regulation; as of the Seventh Amendment Effective Date, and as codified at 31 C.F.R. § 850.101 et seq.</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Amount</w:t>
      </w:r>
      <w:r>
        <w:rPr>
          <w:rFonts w:ascii="Times New Roman;Times;Serif" w:hAnsi="Times New Roman;Times;Serif"/>
          <w:b w:val="false"/>
          <w:i w:val="false"/>
          <w:caps w:val="false"/>
          <w:smallCaps w:val="false"/>
          <w:sz w:val="20"/>
        </w:rPr>
        <w:t>” means (a) with respect to Revolving Loans and Swingline Loans on any date, the Dollar Equivalent amount of the aggregate outstanding principal amount thereof after giving effect to any borrowings and prepayments or repayments of Revolving Loans and Swingline Loans, as the case may be, occurring on such date; and (b) with respect to any L/C Obligations on any date, the Dollar Equivalent amount of the amount of such L/C Obligations on such date after giving effect to any L/C Credit Extension occurring on such date and any other changes in the aggregate Dollar Equivalent amount of the L/C Obligations as of such date, including as a result of any reimbursements by any Borrower of Unreimbursed Amounts.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Rate</w:t>
      </w:r>
      <w:r>
        <w:rPr>
          <w:rFonts w:ascii="Times New Roman;Times;Serif" w:hAnsi="Times New Roman;Times;Serif"/>
          <w:b w:val="false"/>
          <w:i w:val="false"/>
          <w:caps w:val="false"/>
          <w:smallCaps w:val="false"/>
          <w:sz w:val="20"/>
        </w:rPr>
        <w:t>” means, for any day, (a) with respect to any amount denominated in Dollars, the greater of (i) the Federal Funds Rate and (ii) an overnight rate determined by the Administrative Agent, the L/C Issuer, or the Swingline Lender, as the case may be, in accordance with banking industry rules on interbank compensation, and (b) with respect to any amount denominated in an Alternative Currency, an overnight rate determined by the Administrative Agent or the L/C Issuer, as the case may be, in accordance with banking industry rules on interbank compensation.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the meaning specified in the introductory paragraph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Participating Member State</w:t>
      </w:r>
      <w:r>
        <w:rPr>
          <w:rFonts w:ascii="Times New Roman;Times;Serif" w:hAnsi="Times New Roman;Times;Serif"/>
          <w:b w:val="false"/>
          <w:i w:val="false"/>
          <w:caps w:val="false"/>
          <w:smallCaps w:val="false"/>
          <w:sz w:val="20"/>
        </w:rPr>
        <w:t>” means any member state of the European Union that adopts or has adopted the Euro as its lawful currency in accordance with legislation of the European Union relating to economic and monetary union.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Act</w:t>
      </w:r>
      <w:r>
        <w:rPr>
          <w:rFonts w:ascii="Times New Roman;Times;Serif" w:hAnsi="Times New Roman;Times;Serif"/>
          <w:b w:val="false"/>
          <w:i w:val="false"/>
          <w:caps w:val="false"/>
          <w:smallCaps w:val="false"/>
          <w:sz w:val="20"/>
        </w:rPr>
        <w:t>” means the Pension Protection Act of 2006.</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Funding Rules</w:t>
      </w:r>
      <w:r>
        <w:rPr>
          <w:rFonts w:ascii="Times New Roman;Times;Serif" w:hAnsi="Times New Roman;Times;Serif"/>
          <w:b w:val="false"/>
          <w:i w:val="false"/>
          <w:caps w:val="false"/>
          <w:smallCaps w:val="false"/>
          <w:sz w:val="20"/>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Plan</w:t>
      </w:r>
      <w:r>
        <w:rPr>
          <w:rFonts w:ascii="Times New Roman;Times;Serif" w:hAnsi="Times New Roman;Times;Serif"/>
          <w:b w:val="false"/>
          <w:i w:val="false"/>
          <w:caps w:val="false"/>
          <w:smallCaps w:val="false"/>
          <w:sz w:val="20"/>
        </w:rPr>
        <w:t>” means any employee pension benefit plan (including a Multiple Employer Plan or a Multiemployer Plan) that is maintained or is contributed to by any Borrower and any ERISA Affiliate and is either covered by Title IV of ERISA or is subject to the minimum funding standards under Section 412 of the Code.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Certificate</w:t>
      </w:r>
      <w:r>
        <w:rPr>
          <w:rFonts w:ascii="Times New Roman;Times;Serif" w:hAnsi="Times New Roman;Times;Serif"/>
          <w:b w:val="false"/>
          <w:i w:val="false"/>
          <w:caps w:val="false"/>
          <w:smallCaps w:val="false"/>
          <w:sz w:val="20"/>
        </w:rPr>
        <w:t xml:space="preserve">” means the perfection certificate delivered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means an Acquisition by a Loan Party or Subsidiary of a Person or division, line of business or other business unit of a Person to be acquired in such Acquisition (the “</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that is, or is engaged in, a type of business (or is comprised of assets used in a type of business) permitted to be engaged in by the Borrowers and their Subsidiaries pursuant to the terms of this Agreement (a “</w:t>
      </w:r>
      <w:r>
        <w:rPr>
          <w:rFonts w:ascii="Times New Roman;Times;Serif" w:hAnsi="Times New Roman;Times;Serif"/>
          <w:b w:val="false"/>
          <w:i w:val="false"/>
          <w:caps w:val="false"/>
          <w:smallCaps w:val="false"/>
          <w:sz w:val="20"/>
          <w:u w:val="single"/>
        </w:rPr>
        <w:t>Permitted Business</w:t>
      </w:r>
      <w:r>
        <w:rPr>
          <w:rFonts w:ascii="Times New Roman;Times;Serif" w:hAnsi="Times New Roman;Times;Serif"/>
          <w:b w:val="false"/>
          <w:i w:val="false"/>
          <w:caps w:val="false"/>
          <w:smallCaps w:val="false"/>
          <w:sz w:val="20"/>
        </w:rPr>
        <w:t>”), in each case so long as:</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 shall then exist or would exist after giving effect thereto;</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Loan Parties shall demonstrate to the reasonable satisfaction of the Administrative Agent that, after giving effect to the Acquisition, on a Pro Forma Basis, (i) the Loan Parties are in Pro Forma Compliance and (ii) the Consolidated Net Leverage Ratio shall be at least 0.25 to 1.0 less than the then applicable level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calculated using the same Measurement Period used to determine Pro Forma Compliance;</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applicable Loan Parties shall have complied with </w:t>
      </w:r>
      <w:r>
        <w:rPr>
          <w:rFonts w:ascii="Times New Roman;Times;Serif" w:hAnsi="Times New Roman;Times;Serif"/>
          <w:b w:val="false"/>
          <w:i w:val="false"/>
          <w:caps w:val="false"/>
          <w:smallCaps w:val="false"/>
          <w:sz w:val="20"/>
          <w:u w:val="single"/>
        </w:rPr>
        <w:t>Sections 6.13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6.14</w:t>
      </w:r>
      <w:r>
        <w:rPr>
          <w:rFonts w:ascii="Times New Roman;Times;Serif" w:hAnsi="Times New Roman;Times;Serif"/>
          <w:b w:val="false"/>
          <w:i w:val="false"/>
          <w:caps w:val="false"/>
          <w:smallCaps w:val="false"/>
          <w:sz w:val="20"/>
        </w:rPr>
        <w:t>, as applicable;</w:t>
        <w:tab/>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on behalf of the Secured Parties, shall have received not less than (i) ten (10) Business Days (or such shorter period as the Administrative Agent may agree) prior to the consummation of any Permitted Acquisition having a Cost of Acquisition in excess of $50,000,000, (A) written notice of the proposed Acquisition and a description of the material terms of such Acquisition and (B) a due diligence package relative to the proposed Acquisition, including forecasted balance sheets, profit and loss statements, and cash flow statements of the Person to be acquired, all prepared on a basis consistent with such Person’s historical financial statements, together with appropriate supporting details and a statement of underlying assumptions for the one (1) year period following the date of the proposed Acquisition, on a quarter by quarter basis and (ii) five (5) Business Days (or such shorter period as the Administrative Agent may agree) prior to the consummation of such Permitted Acquisition, (A) copies of the acquisition agreement and other material documents relative to the proposed Acquisition and (B) a Permitted Acquisition Certificate, executed by a Responsible Officer of the Parent certifying that such Permitted Acquisition complies with the requirements of this Agreement;</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Acquisition shall not be a “hostile” Acquisition and shall have been approved by the board of directors (or equivalent) and/or shareholders (or equivalent) of the applicable Loan Party and the Target;</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after giving effect to such Acquisition and any Borrowings made in connection therewith, the aggregate principal amount of Revolving Loans available to be borrowed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shall be at least $15,000,000; and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any Acquisitions by any Subsidiary that is not a Loan Party, the aggregate Cost of Acquisition for all such Permitted Acquisitions following the Closing Date and during the term of this Agreement shall not exceed $75,000,000.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 Certificate</w:t>
      </w:r>
      <w:r>
        <w:rPr>
          <w:rFonts w:ascii="Times New Roman;Times;Serif" w:hAnsi="Times New Roman;Times;Serif"/>
          <w:b w:val="false"/>
          <w:i w:val="false"/>
          <w:caps w:val="false"/>
          <w:smallCaps w:val="false"/>
          <w:sz w:val="20"/>
        </w:rPr>
        <w:t xml:space="preserve">” means a certificate substantially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Business</w:t>
      </w:r>
      <w:r>
        <w:rPr>
          <w:rFonts w:ascii="Times New Roman;Times;Serif" w:hAnsi="Times New Roman;Times;Serif"/>
          <w:b w:val="false"/>
          <w:i w:val="false"/>
          <w:caps w:val="false"/>
          <w:smallCaps w:val="false"/>
          <w:sz w:val="20"/>
        </w:rPr>
        <w:t>” has the meaning set forth in the definition of “Permitted Acquisition.”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Tax Distributions</w:t>
      </w:r>
      <w:r>
        <w:rPr>
          <w:rFonts w:ascii="Times New Roman;Times;Serif" w:hAnsi="Times New Roman;Times;Serif"/>
          <w:b w:val="false"/>
          <w:i w:val="false"/>
          <w:caps w:val="false"/>
          <w:smallCaps w:val="false"/>
          <w:sz w:val="20"/>
        </w:rPr>
        <w:t xml:space="preserve">” means, for so long as any Borrower is treated as a partnership for federal income tax purposes, aggregate cash distributions by any Borrower to its members in amounts sufficient to allow such members to pay their estimated and final federal, state and local income tax liabilities, based on the Effective Tax Rate (as defined herein), deemed to arise from the taxable income of the Person making such distribution (such taxable income calculated taking into account any additional deductions or losses available to a member as a result of any basis adjustment pursuant to Section 743 of the Code and taking into account losses, if any, of the distributing Person from prior periods which are permitted to be applied by the members to offset income in the current period, such losses to be applied on a member-by-member basis so that the excess losses of one member shall not be netted hereunder against the taxable income of another member) without regard to the amount of the members’ actual federal, state and local income tax liabilities. Such distributions may be made not more frequently than quarterly with respect to each period for which an installment of estimated tax would be required to be paid by the members of the Person making such distribution (and then, not more than thirty (30) days prior to the due date of the taxes which are the subject of such distribution), except that an additional final distribution may be made after the final taxable income of any Borrower for any fiscal year has been determined in an amount equal to the excess of the income tax liability of the members of the applicable Borrower as computed herein with respect to the immediately preceding taxable year over the aggregate amount of any prior Permitted Tax Distributions made to the members with respect to such taxable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maximum aggregate amount of Permitted Tax Distributions for any such period made to each member shall not exceed the product of (a) the taxable income of the Person making such distribution (calculated as described above) allocable to such member (taking into account any additional deductions or losses available to the members as a result of any basis adjustment pursuant to Section 743 and taking into account losses, if any, of the distributing Person from prior periods which are permitted to be applied by such member to offset income in the current period) for such period, multiplied by (b) the Effective Tax Rate allocable to such member. The Effective Tax Rate shall be equal to the sum of (i) the highest individual or corporate marginal federal income tax rate applicable to any member for the applicable year and (ii) the percentage with respect to state and local income tax rates for that year that the board of managers of the Person making the Permitted Tax Distributions determines in good faith is appropriate (provided that such percentage shall not exceed the highest state and local income tax rates applicable to any member).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xml:space="preserve">” means (a) Dispositions of inventory in the ordinary course of business; (b) Dispositions of property to any Borrower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transferor of such property is a Loan Party then the transferee thereof must be a Loan Party;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Dispositions of accounts receivable in connection with the collection or compromise thereof; (d) licenses, sublicenses, leases or subleases granted to third parties not interfering in any material respect with the business of any Borrower and its Subsidiaries; (e) the sale or disposition of Cash Equivalents in the ordinary course of business and (f) Resale Transactions.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Pledged Equity</w:t>
      </w:r>
      <w:r>
        <w:rPr>
          <w:rFonts w:ascii="Times New Roman;Times;Serif" w:hAnsi="Times New Roman;Times;Serif"/>
          <w:b w:val="false"/>
          <w:i w:val="false"/>
          <w:caps w:val="false"/>
          <w:smallCaps w:val="false"/>
          <w:sz w:val="20"/>
        </w:rPr>
        <w:t>” has the meaning specified in the Security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Basis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Pro Forma Effect</w:t>
      </w:r>
      <w:r>
        <w:rPr>
          <w:rFonts w:ascii="Times New Roman;Times;Serif" w:hAnsi="Times New Roman;Times;Serif"/>
          <w:b w:val="false"/>
          <w:i w:val="false"/>
          <w:caps w:val="false"/>
          <w:smallCaps w:val="false"/>
          <w:sz w:val="20"/>
        </w:rPr>
        <w:t xml:space="preserve">” means, for any Disposition of all or substantially all of a division or a line of business or for any Acquisition, whether actual or proposed, for purposes of determining compliance with the financial covenants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or a test based on the Consolidated Net Leverage Ratio with respect to a Measurement Period, each such transaction or proposed transaction shall be deemed to have occurred on and as of the first day of the relevant Measurement Period, and the following pro forma adjustments shall be made:</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actual or proposed Disposition, all income statement items (whether positive or negative) attributable to the line of business or the Person subject to such Disposition shall be excluded from the results of any Borrower and its Subsidiaries for such Measurement Period as if such Disposition was consummated on the first day of the applicable Measurement Period;</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an actual or proposed Acquisition, income statement items (whether positive or negative) attributable to the property, line of business or the Person subject to such Acquisition shall be included in the results of any Borrower and its Subsidiaries for such Measurement Period, and such pro forma calculations may reflect operating expense reductions and other operating improvements and synergies from the applicable event projected by the Parent in good faith to be realized based on actions to be taken within 12 months after the applicable Acquisition is consummated, net of the amount of actual benefits realized during such Measurement Period from such actions and all costs required to achieve such reductions, improvements and synergies, in each case, as if such Acquisition was consummated on the first day of the applicable Measurement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expense reductions, improvements and synergies reflected pursuant to this Section shall not exceed 5% of the Consolidated EBITDA of the Parent and its Subsidiaries and the Target on a pro forma basis;</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fees and other expenses accrued during the relevant Measurement Period on, and the principal of, any Indebtedness repaid or to be repaid or refinanced in such transaction shall be excluded from the results of any Borrower and its Subsidiaries for such Measurement Period as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Indebtedness were repaid or refinanced on the first day of the applicable Measurement Period; and</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taking into account any Swap Contract applicable to such Indebtedness, and shall be included in the results of any Borrower and its Subsidiaries for such Measurement Period.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Compliance</w:t>
      </w:r>
      <w:r>
        <w:rPr>
          <w:rFonts w:ascii="Times New Roman;Times;Serif" w:hAnsi="Times New Roman;Times;Serif"/>
          <w:b w:val="false"/>
          <w:i w:val="false"/>
          <w:caps w:val="false"/>
          <w:smallCaps w:val="false"/>
          <w:sz w:val="20"/>
        </w:rPr>
        <w:t>” means, with respect to any transaction, that such transaction does not cause, create or result in a Default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ECP Guarantor</w:t>
      </w:r>
      <w:r>
        <w:rPr>
          <w:rFonts w:ascii="Times New Roman;Times;Serif" w:hAnsi="Times New Roman;Times;Serif"/>
          <w:b w:val="false"/>
          <w:i w:val="false"/>
          <w:caps w:val="false"/>
          <w:smallCaps w:val="false"/>
          <w:sz w:val="20"/>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Rate Determination Date</w:t>
      </w:r>
      <w:r>
        <w:rPr>
          <w:rFonts w:ascii="Times New Roman;Times;Serif" w:hAnsi="Times New Roman;Times;Serif"/>
          <w:b w:val="false"/>
          <w:i w:val="false"/>
          <w:caps w:val="false"/>
          <w:smallCaps w:val="false"/>
          <w:sz w:val="20"/>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market practice is not administratively feasible for the Administrative Agent, then “Rate Determination Date” means such other day as otherwise reasonably determined by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Reaffirmation Agreement</w:t>
      </w:r>
      <w:r>
        <w:rPr>
          <w:rFonts w:ascii="Times New Roman;Times;Serif" w:hAnsi="Times New Roman;Times;Serif"/>
          <w:b w:val="false"/>
          <w:i w:val="false"/>
          <w:caps w:val="false"/>
          <w:smallCaps w:val="false"/>
          <w:sz w:val="20"/>
        </w:rPr>
        <w:t>” means that certain Omnibus Reaffirmation of Loan Documents dated as of the Closing Date by and among the Domestic Borrowers and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means any real property owned by a Loan Party.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 the Administrative Agent, (b) any Lender, or (c) the L/C Issuer, as applicable.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Reduction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2.05(b)(viii)</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11.06(c)</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xml:space="preserve">” means with respect to any Credit Extension denominated in (a) Dollars, SOFR, (b) Sterling, SONIA, (c) Swiss Francs, SARON, (d) Euros, EURIBOR, and (e) [reserved], as applicable, and, in each case, if such rate is replaced pursuant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any replacement rate in respect thereof.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set forth in Section 4043(c) of ERISA, other than events for which the thirty (30) day notice period has been waived.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 for Credit Extension</w:t>
      </w:r>
      <w:r>
        <w:rPr>
          <w:rFonts w:ascii="Times New Roman;Times;Serif" w:hAnsi="Times New Roman;Times;Serif"/>
          <w:b w:val="false"/>
          <w:i w:val="false"/>
          <w:caps w:val="false"/>
          <w:smallCaps w:val="false"/>
          <w:sz w:val="20"/>
        </w:rPr>
        <w:t>” means (a) with respect to a Borrowing, conversion or continuation of Revolving Loans, a Loan Notice, (b) with respect to an L/C Credit Extension, a Letter of Credit Application, and (c) with respect to a Swingline Loan, a Swingline Loan Notice.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means, at any time, (i) Lenders having Total Credit Exposures representing at least 66-2/3% of the Total Credit Exposures of all Lenders at such time or (ii) if one Lender holds more than 66-2/3% of the Total Credit Exposures, at least two (2) Lenders. The Total Credit Exposure of any Defaulting Lender shall be disregarded in determining Required Lenders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L/C Issuer, as the case may be, in making such determination; provided further, that this definition is subject to Section 3.03.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Resale Transaction</w:t>
      </w:r>
      <w:r>
        <w:rPr>
          <w:rFonts w:ascii="Times New Roman;Times;Serif" w:hAnsi="Times New Roman;Times;Serif"/>
          <w:b w:val="false"/>
          <w:i w:val="false"/>
          <w:caps w:val="false"/>
          <w:smallCaps w:val="false"/>
          <w:sz w:val="20"/>
        </w:rPr>
        <w:t xml:space="preserve">” means the sale, transfer or other disposition by any Borrower or Subsidiary of any asset acquired after the Closing Date pursuant to an Acquisition that is not necessary for the operation of the business of Borrowers and their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within 180 days after the consummation of such Permitted Acquisition, the Administrative Agent receives written notice from a Borrower identifying such asset with reasonable specificity and stating such that such asset is being held for disposition in a Resale Transaction.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Rescindable Amount</w:t>
      </w:r>
      <w:r>
        <w:rPr>
          <w:rFonts w:ascii="Times New Roman;Times;Serif" w:hAnsi="Times New Roman;Times;Serif"/>
          <w:b w:val="false"/>
          <w:i w:val="false"/>
          <w:caps w:val="false"/>
          <w:smallCaps w:val="false"/>
          <w:sz w:val="20"/>
        </w:rPr>
        <w:t xml:space="preserve">” has the meaning as specified in </w:t>
      </w:r>
      <w:r>
        <w:rPr>
          <w:rFonts w:ascii="Times New Roman;Times;Serif" w:hAnsi="Times New Roman;Times;Serif"/>
          <w:b w:val="false"/>
          <w:i w:val="false"/>
          <w:caps w:val="false"/>
          <w:smallCaps w:val="false"/>
          <w:sz w:val="20"/>
          <w:u w:val="single"/>
        </w:rPr>
        <w:t>Section 2.12(b)(ii)</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the chief executive officer, president, chief operating officer, chief financial officer, treasurer, assistant treasurer, controller, secretary, director or member or any other duly appointed authorized signatory of a Loan Party and, solely for purposes of notices given pursuant to Article II,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 any dividend or other distribution (including without limitation Permitted Tax Distributions), direct or indirect, on account of any shares (or equivalent) of any class of Equity Interests of the Parent or any of its Subsidiaries, now or hereafter outstanding, (b) any redemption, retirement, sinking fund or similar payment, purchase or other acquisition for value, direct or indirect, of any shares (or equivalent) of any class of Equity Interests of the Parent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Retail</w:t>
      </w:r>
      <w:r>
        <w:rPr>
          <w:rFonts w:ascii="Times New Roman;Times;Serif" w:hAnsi="Times New Roman;Times;Serif"/>
          <w:b w:val="false"/>
          <w:i w:val="false"/>
          <w:caps w:val="false"/>
          <w:smallCaps w:val="false"/>
          <w:sz w:val="20"/>
        </w:rPr>
        <w:t>” has the meaning specified in the introductory paragraph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Revaluation Date</w:t>
      </w:r>
      <w:r>
        <w:rPr>
          <w:rFonts w:ascii="Times New Roman;Times;Serif" w:hAnsi="Times New Roman;Times;Serif"/>
          <w:b w:val="false"/>
          <w:i w:val="false"/>
          <w:caps w:val="false"/>
          <w:smallCaps w:val="false"/>
          <w:sz w:val="20"/>
        </w:rPr>
        <w:t>” means (a) with respect to any Revolving Loan, each of the following: (i) each date of a Revolving Borrowing of an Alternative Currency Term Rate Loan, (ii) with respect to an Alternative Currency Daily Rate Loan, each Interest Payment Date, (iii) each date of a continuation of an Alternative Currency Term Rate Loan pursuant to Section 2.02, and (iv) such additional dates as the Administrative Agent shall determine or the Required Lenders shall require; and (b) with respect to any Letter of Credit, each of the following: (i) each date of issuance, amendment and/or extension of a Letter of Credit denominated in an Alternative Currency, (ii) each date of any payment by the L/C Issuer under any Letter of Credit denominated in an Alternative Currency, (iii) in the case of all Existing Letters of Credit denominated in Alternative Currencies, the Closing Date, and (iv) such additional dates as the Administrative Agent or the L/C Issuer shall determine or the Required Lenders shall require.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Borrowing</w:t>
      </w:r>
      <w:r>
        <w:rPr>
          <w:rFonts w:ascii="Times New Roman;Times;Serif" w:hAnsi="Times New Roman;Times;Serif"/>
          <w:b w:val="false"/>
          <w:i w:val="false"/>
          <w:caps w:val="false"/>
          <w:smallCaps w:val="false"/>
          <w:sz w:val="20"/>
        </w:rPr>
        <w:t xml:space="preserve">” means a borrowing consisting of simultaneous Revolving Loans of the same Type and, in the case of Term SOFR Loans or Alternative Currency Term Rate Loans, having the same Interest Period made by each of the Revolving Lenders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w:t>
      </w:r>
      <w:r>
        <w:rPr>
          <w:rFonts w:ascii="Times New Roman;Times;Serif" w:hAnsi="Times New Roman;Times;Serif"/>
          <w:b w:val="false"/>
          <w:i w:val="false"/>
          <w:caps w:val="false"/>
          <w:smallCaps w:val="false"/>
          <w:sz w:val="20"/>
        </w:rPr>
        <w:t xml:space="preserve">” means, as to each Revolving Lender, its obligation to (a) make Revolving Loans to the Borrowers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xml:space="preserve"> under the caption “Revolving Commitment” or opposite such caption in the Assignment and Assumption pursuant to which such Lender becomes a party hereto, as applicable, as such amount may be adjusted from time to time in accordance with this Agreement. The Revolving Commitments of all of the Revolving Lenders </w:t>
      </w:r>
      <w:r>
        <w:rPr>
          <w:rFonts w:ascii="Times New Roman;Times;Serif" w:hAnsi="Times New Roman;Times;Serif"/>
          <w:b w:val="false"/>
          <w:i w:val="false"/>
          <w:caps w:val="false"/>
          <w:smallCaps w:val="false"/>
          <w:strike/>
          <w:color w:val="FF0000"/>
          <w:sz w:val="20"/>
        </w:rPr>
        <w:t>on the Closing</w:t>
      </w:r>
      <w:r>
        <w:rPr>
          <w:rFonts w:ascii="Times New Roman;Times;Serif" w:hAnsi="Times New Roman;Times;Serif"/>
          <w:b w:val="false"/>
          <w:i w:val="false"/>
          <w:caps w:val="false"/>
          <w:smallCaps w:val="false"/>
          <w:color w:val="0000FF"/>
          <w:sz w:val="20"/>
          <w:u w:val="single"/>
        </w:rPr>
        <w:t>as of the Seventh Amendment Effective</w:t>
      </w:r>
      <w:r>
        <w:rPr>
          <w:rFonts w:ascii="Times New Roman;Times;Serif" w:hAnsi="Times New Roman;Times;Serif"/>
          <w:b w:val="false"/>
          <w:i w:val="false"/>
          <w:caps w:val="false"/>
          <w:smallCaps w:val="false"/>
          <w:sz w:val="20"/>
        </w:rPr>
        <w:t xml:space="preserve"> Date shall be $</w:t>
      </w:r>
      <w:r>
        <w:rPr>
          <w:rFonts w:ascii="Times New Roman;Times;Serif" w:hAnsi="Times New Roman;Times;Serif"/>
          <w:b w:val="false"/>
          <w:i w:val="false"/>
          <w:caps w:val="false"/>
          <w:smallCaps w:val="false"/>
          <w:strike/>
          <w:color w:val="FF0000"/>
          <w:sz w:val="20"/>
        </w:rPr>
        <w:t>100,000,000</w:t>
      </w:r>
      <w:r>
        <w:rPr>
          <w:rFonts w:ascii="Times New Roman;Times;Serif" w:hAnsi="Times New Roman;Times;Serif"/>
          <w:b w:val="false"/>
          <w:i w:val="false"/>
          <w:caps w:val="false"/>
          <w:smallCaps w:val="false"/>
          <w:color w:val="0000FF"/>
          <w:sz w:val="20"/>
          <w:u w:val="single"/>
        </w:rPr>
        <w:t>75,000,000</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Exposure</w:t>
      </w:r>
      <w:r>
        <w:rPr>
          <w:rFonts w:ascii="Times New Roman;Times;Serif" w:hAnsi="Times New Roman;Times;Serif"/>
          <w:b w:val="false"/>
          <w:i w:val="false"/>
          <w:caps w:val="false"/>
          <w:smallCaps w:val="false"/>
          <w:sz w:val="20"/>
        </w:rPr>
        <w:t>” means, as to any Lender at any time, the aggregate principal amount at such time of its outstanding Revolving Loans and such Lender’s participation in L/C Obligations and Swingline Loans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w:t>
      </w:r>
      <w:r>
        <w:rPr>
          <w:rFonts w:ascii="Times New Roman;Times;Serif" w:hAnsi="Times New Roman;Times;Serif"/>
          <w:b w:val="false"/>
          <w:i w:val="false"/>
          <w:caps w:val="false"/>
          <w:smallCaps w:val="false"/>
          <w:sz w:val="20"/>
        </w:rPr>
        <w:t>” means, at any time, the amount of the Aggregate Commitments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Lender</w:t>
      </w:r>
      <w:r>
        <w:rPr>
          <w:rFonts w:ascii="Times New Roman;Times;Serif" w:hAnsi="Times New Roman;Times;Serif"/>
          <w:b w:val="false"/>
          <w:i w:val="false"/>
          <w:caps w:val="false"/>
          <w:smallCaps w:val="false"/>
          <w:sz w:val="20"/>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Note</w:t>
      </w:r>
      <w:r>
        <w:rPr>
          <w:rFonts w:ascii="Times New Roman;Times;Serif" w:hAnsi="Times New Roman;Times;Serif"/>
          <w:b w:val="false"/>
          <w:i w:val="false"/>
          <w:caps w:val="false"/>
          <w:smallCaps w:val="false"/>
          <w:sz w:val="20"/>
        </w:rPr>
        <w:t xml:space="preserve">” means a promissory note made by each Borrower in favor of a Revolving Lender evidencing (a) Revolving Loans made by such Revolving Lender,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or (b) Swingline Loans made by such Revolving Lender, substantially in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Financial Services LLC, a subsidiary of The McGraw-Hill Companies, Inc., and any successor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Same Day Funds</w:t>
      </w:r>
      <w:r>
        <w:rPr>
          <w:rFonts w:ascii="Times New Roman;Times;Serif" w:hAnsi="Times New Roman;Times;Serif"/>
          <w:b w:val="false"/>
          <w:i w:val="false"/>
          <w:caps w:val="false"/>
          <w:smallCaps w:val="false"/>
          <w:sz w:val="20"/>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xml:space="preserve">” means any sanction administered or enforced by the United States Government (including, without limitation, OFAC), the United Nations Security Council, the European Union, </w:t>
      </w:r>
      <w:r>
        <w:rPr>
          <w:rFonts w:ascii="Times New Roman;Times;Serif" w:hAnsi="Times New Roman;Times;Serif"/>
          <w:b w:val="false"/>
          <w:i w:val="false"/>
          <w:caps w:val="false"/>
          <w:smallCaps w:val="false"/>
          <w:strike/>
          <w:color w:val="FF0000"/>
          <w:sz w:val="20"/>
        </w:rPr>
        <w:t>Her</w:t>
      </w:r>
      <w:r>
        <w:rPr>
          <w:rFonts w:ascii="Times New Roman;Times;Serif" w:hAnsi="Times New Roman;Times;Serif"/>
          <w:b w:val="false"/>
          <w:i w:val="false"/>
          <w:caps w:val="false"/>
          <w:smallCaps w:val="false"/>
          <w:color w:val="0000FF"/>
          <w:sz w:val="20"/>
          <w:u w:val="single"/>
        </w:rPr>
        <w:t>His</w:t>
      </w:r>
      <w:r>
        <w:rPr>
          <w:rFonts w:ascii="Times New Roman;Times;Serif" w:hAnsi="Times New Roman;Times;Serif"/>
          <w:b w:val="false"/>
          <w:i w:val="false"/>
          <w:caps w:val="false"/>
          <w:smallCaps w:val="false"/>
          <w:sz w:val="20"/>
        </w:rPr>
        <w:t xml:space="preserve"> Majesty’s Treasury (“</w:t>
      </w:r>
      <w:r>
        <w:rPr>
          <w:rFonts w:ascii="Times New Roman;Times;Serif" w:hAnsi="Times New Roman;Times;Serif"/>
          <w:b w:val="false"/>
          <w:i w:val="false"/>
          <w:caps w:val="false"/>
          <w:smallCaps w:val="false"/>
          <w:sz w:val="20"/>
          <w:u w:val="single"/>
        </w:rPr>
        <w:t>HMT</w:t>
      </w:r>
      <w:r>
        <w:rPr>
          <w:rFonts w:ascii="Times New Roman;Times;Serif" w:hAnsi="Times New Roman;Times;Serif"/>
          <w:b w:val="false"/>
          <w:i w:val="false"/>
          <w:caps w:val="false"/>
          <w:smallCaps w:val="false"/>
          <w:sz w:val="20"/>
        </w:rPr>
        <w:t>”) or other relevant sanctions authority.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SARON</w:t>
      </w:r>
      <w:r>
        <w:rPr>
          <w:rFonts w:ascii="Times New Roman;Times;Serif" w:hAnsi="Times New Roman;Times;Serif"/>
          <w:b w:val="false"/>
          <w:i w:val="false"/>
          <w:caps w:val="false"/>
          <w:smallCaps w:val="false"/>
          <w:sz w:val="20"/>
        </w:rPr>
        <w:t>” means, with respect to any applicable determination date, the Swiss Average Rate Overnight as administered by the SARON Administrator and published on the fifth Business Day preceding such date on the applicable Reuters screen page (or such other commercially available source providing such quotations as may be designated by the Administrative Agent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determination date is not a Business Day, SARON means such rate that applied on the first Business Day immediately prior thereto.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SARON Adjustment</w:t>
      </w:r>
      <w:r>
        <w:rPr>
          <w:rFonts w:ascii="Times New Roman;Times;Serif" w:hAnsi="Times New Roman;Times;Serif"/>
          <w:b w:val="false"/>
          <w:i w:val="false"/>
          <w:caps w:val="false"/>
          <w:smallCaps w:val="false"/>
          <w:sz w:val="20"/>
        </w:rPr>
        <w:t>” means, with respect to SARON, 0.0031% per annum.</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SARON Administrator</w:t>
      </w:r>
      <w:r>
        <w:rPr>
          <w:rFonts w:ascii="Times New Roman;Times;Serif" w:hAnsi="Times New Roman;Times;Serif"/>
          <w:b w:val="false"/>
          <w:i w:val="false"/>
          <w:caps w:val="false"/>
          <w:smallCaps w:val="false"/>
          <w:sz w:val="20"/>
        </w:rPr>
        <w:t>” means the SIX Swiss Exchange AG (or any successor administrator of the Swiss Average Rate Overnight).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Governmental Authority succeeding to any of its principal functions.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Amendment</w:t>
      </w:r>
      <w:r>
        <w:rPr>
          <w:rFonts w:ascii="Times New Roman;Times;Serif" w:hAnsi="Times New Roman;Times;Serif"/>
          <w:b w:val="false"/>
          <w:i w:val="false"/>
          <w:caps w:val="false"/>
          <w:smallCaps w:val="false"/>
          <w:sz w:val="20"/>
        </w:rPr>
        <w:t>” means that certain Amendment No. 2 to Credit Agreement by and among the Loan Parties, the Administrative Agent and the Lenders party thereto dated as of June 5, 2020 and effective as of the Second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Amendment Effective Date</w:t>
      </w:r>
      <w:r>
        <w:rPr>
          <w:rFonts w:ascii="Times New Roman;Times;Serif" w:hAnsi="Times New Roman;Times;Serif"/>
          <w:b w:val="false"/>
          <w:i w:val="false"/>
          <w:caps w:val="false"/>
          <w:smallCaps w:val="false"/>
          <w:sz w:val="20"/>
        </w:rPr>
        <w:t>” means April 30, 2020.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Amendment Execution Date</w:t>
      </w:r>
      <w:r>
        <w:rPr>
          <w:rFonts w:ascii="Times New Roman;Times;Serif" w:hAnsi="Times New Roman;Times;Serif"/>
          <w:b w:val="false"/>
          <w:i w:val="false"/>
          <w:caps w:val="false"/>
          <w:smallCaps w:val="false"/>
          <w:sz w:val="20"/>
        </w:rPr>
        <w:t>” means June 5, 2020.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Cash Management Agreement</w:t>
      </w:r>
      <w:r>
        <w:rPr>
          <w:rFonts w:ascii="Times New Roman;Times;Serif" w:hAnsi="Times New Roman;Times;Serif"/>
          <w:b w:val="false"/>
          <w:i w:val="false"/>
          <w:caps w:val="false"/>
          <w:smallCaps w:val="false"/>
          <w:sz w:val="20"/>
        </w:rPr>
        <w:t>” means any Cash Management Agreement between any Loan Party, or any of its Subsidiaries, and any Cash Management Bank.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Hedge Agreement</w:t>
      </w:r>
      <w:r>
        <w:rPr>
          <w:rFonts w:ascii="Times New Roman;Times;Serif" w:hAnsi="Times New Roman;Times;Serif"/>
          <w:b w:val="false"/>
          <w:i w:val="false"/>
          <w:caps w:val="false"/>
          <w:smallCaps w:val="false"/>
          <w:sz w:val="20"/>
        </w:rPr>
        <w:t>” means any interest rate, currency, foreign exchange, or commodity Swap Contract required or permitted under Article VI or VII between any Loan Party, or any of its Subsidiaries, and any Hedge Bank.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means all Obligations, all Foreign Subsidiary Secured Obligations and all Additional Secured Obligations.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xml:space="preserve">” means, collectively, the Administrative Agent, the Lenders (including Designated Lenders), the L/C Issuer, the Hedge Banks, the Cash Management Banks, Foreign Obligation Providers, the Indemnitees and each co-agent or sub-agent appointed by the Administrative Agent from time to time pursuant to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Party Designation Notice</w:t>
      </w:r>
      <w:r>
        <w:rPr>
          <w:rFonts w:ascii="Times New Roman;Times;Serif" w:hAnsi="Times New Roman;Times;Serif"/>
          <w:b w:val="false"/>
          <w:i w:val="false"/>
          <w:caps w:val="false"/>
          <w:smallCaps w:val="false"/>
          <w:sz w:val="20"/>
        </w:rPr>
        <w:t xml:space="preserve">” means a notice from any Lender or an Affiliate of a Lender and the Parent (such notice by the Parent not to be unreasonably delayed) substantially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including all amendments thereto and regulations promulgated thereunder.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means the security and pledge agreement, dated as of January 30, 2015, executed in favor of the Administrative Agent by each of the Loan Parties.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Transaction</w:t>
      </w:r>
      <w:r>
        <w:rPr>
          <w:rFonts w:ascii="Times New Roman;Times;Serif" w:hAnsi="Times New Roman;Times;Serif"/>
          <w:b w:val="false"/>
          <w:i w:val="false"/>
          <w:caps w:val="false"/>
          <w:smallCaps w:val="false"/>
          <w:sz w:val="20"/>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Seventh Amendment” means that certain Amendment No. 7 to Credit Agreement by and among the Loan Parties, the Administrative Agent and the Lenders party thereto dated and effective as of the Seventh Amendment Effective Date.</w:t>
      </w:r>
    </w:p>
    <w:p>
      <w:pPr>
        <w:pStyle w:val="TextBody"/>
        <w:bidi w:val="0"/>
        <w:spacing w:before="0" w:after="24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Seventh Amendment Effective Date” means July 16, 2026.</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means any Foreign Subsidiary of the Parent that as of any date of determination (a) generates more than 5% of Consolidated EBITDA on a Pro Forma Basis for the applicable Measurement Period or (b) has total assets (including Equity Interests in other Subsidiaries and excluding investments that are eliminated in consolidation) of equal to or greater than 5% of the total assets of the Parent and its Subsidiaries, on a consolidated basis as of the end of such Measurement Period.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the Secured Overnight Financing Rate as administered by the Federal Reserve Bank of New York (or a successor administrator).</w:t>
      </w:r>
    </w:p>
    <w:p>
      <w:pPr>
        <w:pStyle w:val="TextBody"/>
        <w:bidi w:val="0"/>
        <w:spacing w:before="0" w:after="24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SOFR Adjustment</w:t>
      </w:r>
      <w:r>
        <w:rPr>
          <w:rFonts w:ascii="Times New Roman;Times;Serif" w:hAnsi="Times New Roman;Times;Serif"/>
          <w:b w:val="false"/>
          <w:i w:val="false"/>
          <w:caps w:val="false"/>
          <w:smallCaps w:val="false"/>
          <w:strike/>
          <w:color w:val="FF0000"/>
          <w:sz w:val="20"/>
        </w:rPr>
        <w:t>” with respect to Term SOFR means 0.10% (10 basis points) for an Interest Period of one-month’s duration, 0.10% (10 basis points;) for an Interest Period of three-month’s duration, 0.10% (10 basis points) for an Interest Period of six-months’ duration, and 0.10% (10 basis points) for an Interest Period of twelve–months’ duration.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Scheduled Unavailability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3.03(c)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Successor Rate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3.03(c)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w:t>
      </w:r>
      <w:r>
        <w:rPr>
          <w:rFonts w:ascii="Times New Roman;Times;Serif" w:hAnsi="Times New Roman;Times;Serif"/>
          <w:b w:val="false"/>
          <w:i w:val="false"/>
          <w:caps w:val="false"/>
          <w:smallCaps w:val="false"/>
          <w:sz w:val="20"/>
        </w:rPr>
        <w:t>” means, with respect to any applicable determination date, the Sterling Overnight Index Average Reference Rate as administered by the SONIA Administrator and published on the fifth Business Day preceding such date on the applicable Reuters screen page (or such other commercially available source providing such quotations as may be designated by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if such determination date is not a Business Day, SONIA means such rate that applied on the first Business Day immediately prior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Adjustment</w:t>
      </w:r>
      <w:r>
        <w:rPr>
          <w:rFonts w:ascii="Times New Roman;Times;Serif" w:hAnsi="Times New Roman;Times;Serif"/>
          <w:b w:val="false"/>
          <w:i w:val="false"/>
          <w:caps w:val="false"/>
          <w:smallCaps w:val="false"/>
          <w:sz w:val="20"/>
        </w:rPr>
        <w:t>” means, with respect to SONIA, 0.1193% per annum.</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w:t>
      </w:r>
      <w:r>
        <w:rPr>
          <w:rFonts w:ascii="Times New Roman;Times;Serif" w:hAnsi="Times New Roman;Times;Serif"/>
          <w:b w:val="false"/>
          <w:i w:val="false"/>
          <w:caps w:val="false"/>
          <w:smallCaps w:val="false"/>
          <w:sz w:val="20"/>
        </w:rPr>
        <w:t>” means the Bank of England (or any successor administrator of the Sterling Overnight Index Average).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Notice Currency</w:t>
      </w:r>
      <w:r>
        <w:rPr>
          <w:rFonts w:ascii="Times New Roman;Times;Serif" w:hAnsi="Times New Roman;Times;Serif"/>
          <w:b w:val="false"/>
          <w:i w:val="false"/>
          <w:caps w:val="false"/>
          <w:smallCaps w:val="false"/>
          <w:sz w:val="20"/>
        </w:rPr>
        <w:t>” means at any time an Alternative Currency, other than the currency of a country that is a member of the Organization for Economic Cooperation and Development at such time located in North America or Europe.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Loan Party</w:t>
      </w:r>
      <w:r>
        <w:rPr>
          <w:rFonts w:ascii="Times New Roman;Times;Serif" w:hAnsi="Times New Roman;Times;Serif"/>
          <w:b w:val="false"/>
          <w:i w:val="false"/>
          <w:caps w:val="false"/>
          <w:smallCaps w:val="false"/>
          <w:sz w:val="20"/>
        </w:rPr>
        <w:t>” means any Loan Party that is not then an “eligible contract participant” under the Commodity Exchange Act (determined prior to giving effect to Section 10.11).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Spot Rate</w:t>
      </w:r>
      <w:r>
        <w:rPr>
          <w:rFonts w:ascii="Times New Roman;Times;Serif" w:hAnsi="Times New Roman;Times;Serif"/>
          <w:b w:val="false"/>
          <w:i w:val="false"/>
          <w:caps w:val="false"/>
          <w:smallCaps w:val="false"/>
          <w:sz w:val="20"/>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L/C Issuer may use such spot rate quoted on the date as of which the foreign exchange computation is made in the case of any Letter of Credit denominated in an Alternative Currency.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Sterling</w:t>
      </w:r>
      <w:r>
        <w:rPr>
          <w:rFonts w:ascii="Times New Roman;Times;Serif" w:hAnsi="Times New Roman;Times;Serif"/>
          <w:b w:val="false"/>
          <w:i w:val="false"/>
          <w:caps w:val="false"/>
          <w:smallCaps w:val="false"/>
          <w:sz w:val="20"/>
        </w:rPr>
        <w:t>” means the lawful currency of the United Kingdom.</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3.03(d)</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Contract</w:t>
      </w:r>
      <w:r>
        <w:rPr>
          <w:rFonts w:ascii="Times New Roman;Times;Serif" w:hAnsi="Times New Roman;Times;Serif"/>
          <w:b w:val="false"/>
          <w:i w:val="false"/>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val="false"/>
          <w:i w:val="false"/>
          <w:caps w:val="false"/>
          <w:smallCaps w:val="false"/>
          <w:sz w:val="20"/>
          <w:u w:val="single"/>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Obligations</w:t>
      </w:r>
      <w:r>
        <w:rPr>
          <w:rFonts w:ascii="Times New Roman;Times;Serif" w:hAnsi="Times New Roman;Times;Serif"/>
          <w:b w:val="false"/>
          <w:i w:val="false"/>
          <w:caps w:val="false"/>
          <w:smallCaps w:val="false"/>
          <w:sz w:val="20"/>
        </w:rPr>
        <w:t>” means with respect to any Loan Party any obligation to pay or perform under any agreement, contract or transaction that constitutes a “swap” within the meaning of Section 1a(47) of the Commodity Exchange Act.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Termination Value</w:t>
      </w:r>
      <w:r>
        <w:rPr>
          <w:rFonts w:ascii="Times New Roman;Times;Serif" w:hAnsi="Times New Roman;Times;Serif"/>
          <w:b w:val="false"/>
          <w:i w:val="false"/>
          <w:caps w:val="false"/>
          <w:smallCaps w:val="false"/>
          <w:sz w:val="20"/>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Borrowing</w:t>
      </w:r>
      <w:r>
        <w:rPr>
          <w:rFonts w:ascii="Times New Roman;Times;Serif" w:hAnsi="Times New Roman;Times;Serif"/>
          <w:b w:val="false"/>
          <w:i w:val="false"/>
          <w:caps w:val="false"/>
          <w:smallCaps w:val="false"/>
          <w:sz w:val="20"/>
        </w:rPr>
        <w:t xml:space="preserve">” means a borrowing of a Swingline Loan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Bank of America, in its capacity as provider of Swingline Loans, or any successor swingline lender hereunder.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Notice</w:t>
      </w:r>
      <w:r>
        <w:rPr>
          <w:rFonts w:ascii="Times New Roman;Times;Serif" w:hAnsi="Times New Roman;Times;Serif"/>
          <w:b w:val="false"/>
          <w:i w:val="false"/>
          <w:caps w:val="false"/>
          <w:smallCaps w:val="false"/>
          <w:sz w:val="20"/>
        </w:rPr>
        <w:t xml:space="preserve">” means a notice of a Swingline Borrowing pursuant to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which shall be substantially in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Parent.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Sublimit</w:t>
      </w:r>
      <w:r>
        <w:rPr>
          <w:rFonts w:ascii="Times New Roman;Times;Serif" w:hAnsi="Times New Roman;Times;Serif"/>
          <w:b w:val="false"/>
          <w:i w:val="false"/>
          <w:caps w:val="false"/>
          <w:smallCaps w:val="false"/>
          <w:sz w:val="20"/>
        </w:rPr>
        <w:t>” means an amount equal to the lesser of (a) $25,000,000 and (b) the Revolving Facility. The Swingline Sublimit is part of, and not in addition to, the Revolving Facility.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10 Non-Bank Rule</w:t>
      </w:r>
      <w:r>
        <w:rPr>
          <w:rFonts w:ascii="Times New Roman;Times;Serif" w:hAnsi="Times New Roman;Times;Serif"/>
          <w:b w:val="false"/>
          <w:i w:val="false"/>
          <w:caps w:val="false"/>
          <w:smallCaps w:val="false"/>
          <w:sz w:val="20"/>
        </w:rPr>
        <w:t>” means the rule that the aggregate number of creditors (including the Lenders) under any Loan, which are Swiss Non-Qualifying Banks, must not exceed 10 (ten), all in accordance with the meaning of the applicable Swiss Guidelines and/or any legislation or explanatory notes addressing each such issue which is in force at the relevant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20 Non-Bank Rule</w:t>
      </w:r>
      <w:r>
        <w:rPr>
          <w:rFonts w:ascii="Times New Roman;Times;Serif" w:hAnsi="Times New Roman;Times;Serif"/>
          <w:b w:val="false"/>
          <w:i w:val="false"/>
          <w:caps w:val="false"/>
          <w:smallCaps w:val="false"/>
          <w:sz w:val="20"/>
        </w:rPr>
        <w:t>” means the rule that the aggregate number of creditors (including the Lenders), other than Swiss Qualifying Banks, of a Swiss Borrower under all outstanding debts relevant for classification as debentures (</w:t>
      </w:r>
      <w:r>
        <w:rPr>
          <w:rFonts w:ascii="Times New Roman;Times;Serif" w:hAnsi="Times New Roman;Times;Serif"/>
          <w:b w:val="false"/>
          <w:i/>
          <w:caps w:val="false"/>
          <w:smallCaps w:val="false"/>
          <w:sz w:val="20"/>
        </w:rPr>
        <w:t>Kassenobligation</w:t>
      </w:r>
      <w:r>
        <w:rPr>
          <w:rFonts w:ascii="Times New Roman;Times;Serif" w:hAnsi="Times New Roman;Times;Serif"/>
          <w:b w:val="false"/>
          <w:i w:val="false"/>
          <w:caps w:val="false"/>
          <w:smallCaps w:val="false"/>
          <w:sz w:val="20"/>
        </w:rPr>
        <w:t>) (within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 of the applicable Swiss Guidelines and Swiss tax laws), such as (intragroup) loans (if and to the extent intragroup loans are not exempt in accordance with article 14(a) of the Swiss Federal Ordinance on Swiss withholding tax), facilities and/or private placements (including under the Loan Documents) must not at any time exceed 20 (twenty), all in accordance with the meaning of the applicable Swiss Guidelines and/or any legislation or explanatory notes addressing each such issue which is in force at the relevant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Borrower</w:t>
      </w:r>
      <w:r>
        <w:rPr>
          <w:rFonts w:ascii="Times New Roman;Times;Serif" w:hAnsi="Times New Roman;Times;Serif"/>
          <w:b w:val="false"/>
          <w:i w:val="false"/>
          <w:caps w:val="false"/>
          <w:smallCaps w:val="false"/>
          <w:sz w:val="20"/>
        </w:rPr>
        <w:t>” means a Foreign Borrower which is organized under the laws of Switzerland or, if different, is considered to be tax resident in Switzerland for Swiss Withholding Tax purposes.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Capped Amount</w:t>
      </w:r>
      <w:r>
        <w:rPr>
          <w:rFonts w:ascii="Times New Roman;Times;Serif" w:hAnsi="Times New Roman;Times;Serif"/>
          <w:b w:val="false"/>
          <w:i w:val="false"/>
          <w:caps w:val="false"/>
          <w:smallCaps w:val="false"/>
          <w:sz w:val="20"/>
        </w:rPr>
        <w:t>” means the amount of the applicable Swiss Loan Party’s freely disposable equity available for distribution by way of dividend to the shareholders of the Swiss Loan Party in accordance with Swiss law and presently being the Swiss Loan Party’s total shareholder equity less the total of (i) its aggregate share capital and (ii) statutory reserves (to the extent such reserves cannot be transferred into unrestricted, distributable reserves and taking into account (by way of deducting) any upstream or cross-stream loans not granted on arm’s length terms), which amount shall be determined on the basis of an up-to-date audited interim balance sheet of the Swiss Loan Party prepared for such determination and approved by the auditors of the Swiss Loan Party as a distributable amount.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Federal Tax Administration</w:t>
      </w:r>
      <w:r>
        <w:rPr>
          <w:rFonts w:ascii="Times New Roman;Times;Serif" w:hAnsi="Times New Roman;Times;Serif"/>
          <w:b w:val="false"/>
          <w:i w:val="false"/>
          <w:caps w:val="false"/>
          <w:smallCaps w:val="false"/>
          <w:sz w:val="20"/>
        </w:rPr>
        <w:t>” means the tax authorities referred to in article 34 of the Swiss Federal Act on Withholding Tax of 13 October 1965 (Bundesgesetz über die Verrechnungssteuer, SR 642.21).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Franc</w:t>
      </w:r>
      <w:r>
        <w:rPr>
          <w:rFonts w:ascii="Times New Roman;Times;Serif" w:hAnsi="Times New Roman;Times;Serif"/>
          <w:b w:val="false"/>
          <w:i w:val="false"/>
          <w:caps w:val="false"/>
          <w:smallCaps w:val="false"/>
          <w:sz w:val="20"/>
        </w:rPr>
        <w:t>” means the lawful currency of Switzerland.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Loan Party</w:t>
      </w:r>
      <w:r>
        <w:rPr>
          <w:rFonts w:ascii="Times New Roman;Times;Serif" w:hAnsi="Times New Roman;Times;Serif"/>
          <w:b w:val="false"/>
          <w:i w:val="false"/>
          <w:caps w:val="false"/>
          <w:smallCaps w:val="false"/>
          <w:sz w:val="20"/>
        </w:rPr>
        <w:t>” means a Loan Party that is domiciled in Switzerland.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Guidelines</w:t>
      </w:r>
      <w:r>
        <w:rPr>
          <w:rFonts w:ascii="Times New Roman;Times;Serif" w:hAnsi="Times New Roman;Times;Serif"/>
          <w:b w:val="false"/>
          <w:i w:val="false"/>
          <w:caps w:val="false"/>
          <w:smallCaps w:val="false"/>
          <w:sz w:val="20"/>
        </w:rPr>
        <w:t>” means, together, guideline S-02.123 in relation to interbank loans of 22 September 1986 (</w:t>
      </w:r>
      <w:r>
        <w:rPr>
          <w:rFonts w:ascii="Times New Roman;Times;Serif" w:hAnsi="Times New Roman;Times;Serif"/>
          <w:b w:val="false"/>
          <w:i/>
          <w:caps w:val="false"/>
          <w:smallCaps w:val="false"/>
          <w:sz w:val="20"/>
        </w:rPr>
        <w:t>Merkblatt "Verrechnungssteuer auf Zinsen von Bankguthaben, deren Gläubiger Banken sind (Interbankguthaben)" vom 22. September 1986</w:t>
      </w:r>
      <w:r>
        <w:rPr>
          <w:rFonts w:ascii="Times New Roman;Times;Serif" w:hAnsi="Times New Roman;Times;Serif"/>
          <w:b w:val="false"/>
          <w:i w:val="false"/>
          <w:caps w:val="false"/>
          <w:smallCaps w:val="false"/>
          <w:sz w:val="20"/>
        </w:rPr>
        <w:t>), guideline S-02.122.1 in relation to bonds of April 1999 (</w:t>
      </w:r>
      <w:r>
        <w:rPr>
          <w:rFonts w:ascii="Times New Roman;Times;Serif" w:hAnsi="Times New Roman;Times;Serif"/>
          <w:b w:val="false"/>
          <w:i/>
          <w:caps w:val="false"/>
          <w:smallCaps w:val="false"/>
          <w:sz w:val="20"/>
        </w:rPr>
        <w:t>Merkblatt "Obligationen" vom April 1999</w:t>
      </w:r>
      <w:r>
        <w:rPr>
          <w:rFonts w:ascii="Times New Roman;Times;Serif" w:hAnsi="Times New Roman;Times;Serif"/>
          <w:b w:val="false"/>
          <w:i w:val="false"/>
          <w:caps w:val="false"/>
          <w:smallCaps w:val="false"/>
          <w:sz w:val="20"/>
        </w:rPr>
        <w:t>), guideline S-02.130.1 in relation to money market instruments and book claims of April 1999 (</w:t>
      </w:r>
      <w:r>
        <w:rPr>
          <w:rFonts w:ascii="Times New Roman;Times;Serif" w:hAnsi="Times New Roman;Times;Serif"/>
          <w:b w:val="false"/>
          <w:i/>
          <w:caps w:val="false"/>
          <w:smallCaps w:val="false"/>
          <w:sz w:val="20"/>
        </w:rPr>
        <w:t>Merkblatt vom April 1999 betreffend Geldmarktpapiere und Buchforderungen inländischer Schuldner</w:t>
      </w:r>
      <w:r>
        <w:rPr>
          <w:rFonts w:ascii="Times New Roman;Times;Serif" w:hAnsi="Times New Roman;Times;Serif"/>
          <w:b w:val="false"/>
          <w:i w:val="false"/>
          <w:caps w:val="false"/>
          <w:smallCaps w:val="false"/>
          <w:sz w:val="20"/>
        </w:rPr>
        <w:t>), guideline S-02.128 in relation to syndicated credit facilities of January 2000 (</w:t>
      </w:r>
      <w:r>
        <w:rPr>
          <w:rFonts w:ascii="Times New Roman;Times;Serif" w:hAnsi="Times New Roman;Times;Serif"/>
          <w:b w:val="false"/>
          <w:i/>
          <w:caps w:val="false"/>
          <w:smallCaps w:val="false"/>
          <w:sz w:val="20"/>
        </w:rPr>
        <w:t>Merkblatt "Steuerliche Behandlung von Konsortialdarlehen, Schuldscheindarlehen, Wechseln und Unterbeteiligungen" vom Januar 2000</w:t>
      </w:r>
      <w:r>
        <w:rPr>
          <w:rFonts w:ascii="Times New Roman;Times;Serif" w:hAnsi="Times New Roman;Times;Serif"/>
          <w:b w:val="false"/>
          <w:i w:val="false"/>
          <w:caps w:val="false"/>
          <w:smallCaps w:val="false"/>
          <w:sz w:val="20"/>
        </w:rPr>
        <w:t>), circular letter no. 34 of 26 July 2011 (1-034-V-2011) in relation to deposits (</w:t>
      </w:r>
      <w:r>
        <w:rPr>
          <w:rFonts w:ascii="Times New Roman;Times;Serif" w:hAnsi="Times New Roman;Times;Serif"/>
          <w:b w:val="false"/>
          <w:i/>
          <w:caps w:val="false"/>
          <w:smallCaps w:val="false"/>
          <w:sz w:val="20"/>
        </w:rPr>
        <w:t>Kreisschreiben Nr. 34 "Kundenguthaben" vom 26. Juli 2011</w:t>
      </w:r>
      <w:r>
        <w:rPr>
          <w:rFonts w:ascii="Times New Roman;Times;Serif" w:hAnsi="Times New Roman;Times;Serif"/>
          <w:b w:val="false"/>
          <w:i w:val="false"/>
          <w:caps w:val="false"/>
          <w:smallCaps w:val="false"/>
          <w:sz w:val="20"/>
        </w:rPr>
        <w:t>), and the circular letter no. 15 of 3 October 2017 (1-015-DVS-2017) in relation to bonds and derivative financial instruments as subject matter of taxation of Swiss federal income tax, Swiss withholding tax, and Swiss stamp taxes (</w:t>
      </w:r>
      <w:r>
        <w:rPr>
          <w:rFonts w:ascii="Times New Roman;Times;Serif" w:hAnsi="Times New Roman;Times;Serif"/>
          <w:b w:val="false"/>
          <w:i/>
          <w:caps w:val="false"/>
          <w:smallCaps w:val="false"/>
          <w:sz w:val="20"/>
        </w:rPr>
        <w:t>Kreisschreiben Nr. 15 "Obligationen und derivative Finanzinstrumente als Gegenstand der direkten Bundessteuer, der Verrechnungssteuer und der Stempelabgaben" vom 3. Oktober 2017</w:t>
      </w:r>
      <w:r>
        <w:rPr>
          <w:rFonts w:ascii="Times New Roman;Times;Serif" w:hAnsi="Times New Roman;Times;Serif"/>
          <w:b w:val="false"/>
          <w:i w:val="false"/>
          <w:caps w:val="false"/>
          <w:smallCaps w:val="false"/>
          <w:sz w:val="20"/>
        </w:rPr>
        <w:t>), in each case as issued, amended or replaced from time to time, by the Swiss Federal Tax Administration or as substituted or superseded and overruled by any law, statute, ordinance, court decision, regulation or the like as in force from time to time.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Non-Bank Rules</w:t>
      </w:r>
      <w:r>
        <w:rPr>
          <w:rFonts w:ascii="Times New Roman;Times;Serif" w:hAnsi="Times New Roman;Times;Serif"/>
          <w:b w:val="false"/>
          <w:i w:val="false"/>
          <w:caps w:val="false"/>
          <w:smallCaps w:val="false"/>
          <w:sz w:val="20"/>
        </w:rPr>
        <w:t>” means the Swiss 10 Non-Bank Rule and the Swiss 20 Non-Bank Rule.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Non-Qualifying Bank</w:t>
      </w:r>
      <w:r>
        <w:rPr>
          <w:rFonts w:ascii="Times New Roman;Times;Serif" w:hAnsi="Times New Roman;Times;Serif"/>
          <w:b w:val="false"/>
          <w:i w:val="false"/>
          <w:caps w:val="false"/>
          <w:smallCaps w:val="false"/>
          <w:sz w:val="20"/>
        </w:rPr>
        <w:t>” means a person or entity which is not a Swiss Qualifying Bank.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Qualifying Bank</w:t>
      </w:r>
      <w:r>
        <w:rPr>
          <w:rFonts w:ascii="Times New Roman;Times;Serif" w:hAnsi="Times New Roman;Times;Serif"/>
          <w:b w:val="false"/>
          <w:i w:val="false"/>
          <w:caps w:val="false"/>
          <w:smallCaps w:val="false"/>
          <w:sz w:val="20"/>
        </w:rPr>
        <w:t>” means a person or entity (including any commercial bank or financial institution (irrespective of its jurisdiction of organization))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in accordance with the Swiss Guidelines.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Restricted Obligations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Section 11.25</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Swiss Withholding Tax</w:t>
      </w:r>
      <w:r>
        <w:rPr>
          <w:rFonts w:ascii="Times New Roman;Times;Serif" w:hAnsi="Times New Roman;Times;Serif"/>
          <w:b w:val="false"/>
          <w:i w:val="false"/>
          <w:caps w:val="false"/>
          <w:smallCaps w:val="false"/>
          <w:sz w:val="20"/>
        </w:rPr>
        <w:t>” means the tax levied pursuant to the Swiss Federal Act on Withholding Tax (</w:t>
      </w:r>
      <w:r>
        <w:rPr>
          <w:rFonts w:ascii="Times New Roman;Times;Serif" w:hAnsi="Times New Roman;Times;Serif"/>
          <w:b w:val="false"/>
          <w:i/>
          <w:caps w:val="false"/>
          <w:smallCaps w:val="false"/>
          <w:sz w:val="20"/>
        </w:rPr>
        <w:t>Bundesgesetz über die Verrechnungssteuer vom 13. Oktober 1965, SR 642.21</w:t>
      </w:r>
      <w:r>
        <w:rPr>
          <w:rFonts w:ascii="Times New Roman;Times;Serif" w:hAnsi="Times New Roman;Times;Serif"/>
          <w:b w:val="false"/>
          <w:i w:val="false"/>
          <w:caps w:val="false"/>
          <w:smallCaps w:val="false"/>
          <w:sz w:val="20"/>
        </w:rPr>
        <w:t>), together with the related ordinances, regulations and the Swiss Guidelines, all as amended and applicable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Synthetic Debt</w:t>
      </w:r>
      <w:r>
        <w:rPr>
          <w:rFonts w:ascii="Times New Roman;Times;Serif" w:hAnsi="Times New Roman;Times;Serif"/>
          <w:b w:val="false"/>
          <w:i w:val="false"/>
          <w:caps w:val="false"/>
          <w:smallCaps w:val="false"/>
          <w:sz w:val="20"/>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Synthetic Lease Obligation</w:t>
      </w:r>
      <w:r>
        <w:rPr>
          <w:rFonts w:ascii="Times New Roman;Times;Serif" w:hAnsi="Times New Roman;Times;Serif"/>
          <w:b w:val="false"/>
          <w:i w:val="false"/>
          <w:caps w:val="false"/>
          <w:smallCaps w:val="false"/>
          <w:sz w:val="20"/>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before="0" w:after="24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T2” means the real time gross settlement system operated by the Eurosystem, or any successor system.</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has the meaning set forth in the definition of “Permitted Acquisition.”</w:t>
      </w:r>
    </w:p>
    <w:p>
      <w:pPr>
        <w:pStyle w:val="TextBody"/>
        <w:bidi w:val="0"/>
        <w:spacing w:before="0" w:after="24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TARGET2</w:t>
      </w:r>
      <w:r>
        <w:rPr>
          <w:rFonts w:ascii="Times New Roman;Times;Serif" w:hAnsi="Times New Roman;Times;Serif"/>
          <w:b w:val="false"/>
          <w:i w:val="false"/>
          <w:caps w:val="false"/>
          <w:smallCaps w:val="false"/>
          <w:strike/>
          <w:color w:val="FF0000"/>
          <w:sz w:val="20"/>
        </w:rPr>
        <w:t>” means the Trans-European Automated Real-time Gross Settlement Express Transfer payment system which utilizes a single shared platform and which was launched on November 19, 2007.</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Day</w:t>
      </w:r>
      <w:r>
        <w:rPr>
          <w:rFonts w:ascii="Times New Roman;Times;Serif" w:hAnsi="Times New Roman;Times;Serif"/>
          <w:b w:val="false"/>
          <w:i w:val="false"/>
          <w:caps w:val="false"/>
          <w:smallCaps w:val="false"/>
          <w:sz w:val="20"/>
        </w:rPr>
        <w:t xml:space="preserve">” means any day on which </w:t>
      </w:r>
      <w:r>
        <w:rPr>
          <w:rFonts w:ascii="Times New Roman;Times;Serif" w:hAnsi="Times New Roman;Times;Serif"/>
          <w:b w:val="false"/>
          <w:i w:val="false"/>
          <w:caps w:val="false"/>
          <w:smallCaps w:val="false"/>
          <w:strike/>
          <w:color w:val="FF0000"/>
          <w:sz w:val="20"/>
        </w:rPr>
        <w:t>TARGET2 (or, if such payment system ceases to be operative, such other payment system, if any, determined by the Administrative Agent to be a suitable replacement)</w:t>
      </w:r>
      <w:r>
        <w:rPr>
          <w:rFonts w:ascii="Times New Roman;Times;Serif" w:hAnsi="Times New Roman;Times;Serif"/>
          <w:b w:val="false"/>
          <w:i w:val="false"/>
          <w:caps w:val="false"/>
          <w:smallCaps w:val="false"/>
          <w:color w:val="0000FF"/>
          <w:sz w:val="20"/>
          <w:u w:val="single"/>
        </w:rPr>
        <w:t>T2</w:t>
      </w:r>
      <w:r>
        <w:rPr>
          <w:rFonts w:ascii="Times New Roman;Times;Serif" w:hAnsi="Times New Roman;Times;Serif"/>
          <w:b w:val="false"/>
          <w:i w:val="false"/>
          <w:caps w:val="false"/>
          <w:smallCaps w:val="false"/>
          <w:sz w:val="20"/>
        </w:rPr>
        <w:t xml:space="preserve"> is open for the settlement of payments in Euro.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rate is not published prior to 11:00 a.m. (New York City time) on such determination date then Term SOFR means the Term SOFR Screen Rate on the first U.S. Government Securities Business Day immediately prior thereto</w:t>
      </w:r>
      <w:r>
        <w:rPr>
          <w:rFonts w:ascii="Times New Roman;Times;Serif" w:hAnsi="Times New Roman;Times;Serif"/>
          <w:b w:val="false"/>
          <w:i w:val="false"/>
          <w:caps w:val="false"/>
          <w:smallCaps w:val="false"/>
          <w:strike/>
          <w:color w:val="FF0000"/>
          <w:sz w:val="20"/>
        </w:rPr>
        <w:t>, in each case, plus the SOFR Adjustment</w:t>
      </w:r>
      <w:r>
        <w:rPr>
          <w:rFonts w:ascii="Times New Roman;Times;Serif" w:hAnsi="Times New Roman;Times;Serif"/>
          <w:b w:val="false"/>
          <w:i w:val="false"/>
          <w:caps w:val="false"/>
          <w:smallCaps w:val="false"/>
          <w:sz w:val="20"/>
        </w:rPr>
        <w:t>;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interest calculation with respect to a Base Rate Loan on any date, the rate per annum equal to the Term SOFR Screen Rate with a term of one month commencing that day;</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Term SOFR determined in accordance with either of the foregoing provisions (a) or (b) of this definition would otherwise be less than zero, the Term SOFR shall be deemed zero for purposes of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means a Loan that bears interest at a rate based on clause (a) of the definition of Term SOFR.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Screen Rate</w:t>
      </w:r>
      <w:r>
        <w:rPr>
          <w:rFonts w:ascii="Times New Roman;Times;Serif" w:hAnsi="Times New Roman;Times;Serif"/>
          <w:b w:val="false"/>
          <w:i w:val="false"/>
          <w:caps w:val="false"/>
          <w:smallCaps w:val="false"/>
          <w:sz w:val="20"/>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Amendment</w:t>
      </w:r>
      <w:r>
        <w:rPr>
          <w:rFonts w:ascii="Times New Roman;Times;Serif" w:hAnsi="Times New Roman;Times;Serif"/>
          <w:b w:val="false"/>
          <w:i w:val="false"/>
          <w:caps w:val="false"/>
          <w:smallCaps w:val="false"/>
          <w:sz w:val="20"/>
        </w:rPr>
        <w:t>” means that certain Amendment No. 3 to Credit Agreement by and among the Loan Parties, the Administrative Agent and the Lenders party thereto dated and effective as of the Third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Amendment Effective Date</w:t>
      </w:r>
      <w:r>
        <w:rPr>
          <w:rFonts w:ascii="Times New Roman;Times;Serif" w:hAnsi="Times New Roman;Times;Serif"/>
          <w:b w:val="false"/>
          <w:i w:val="false"/>
          <w:caps w:val="false"/>
          <w:smallCaps w:val="false"/>
          <w:sz w:val="20"/>
        </w:rPr>
        <w:t>” means October 28, 2021.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Funds</w:t>
      </w:r>
      <w:r>
        <w:rPr>
          <w:rFonts w:ascii="Times New Roman;Times;Serif" w:hAnsi="Times New Roman;Times;Serif"/>
          <w:b w:val="false"/>
          <w:i w:val="false"/>
          <w:caps w:val="false"/>
          <w:smallCaps w:val="false"/>
          <w:sz w:val="20"/>
        </w:rPr>
        <w:t xml:space="preserve">” shall mean (a) any accounts or funds, or any portion thereof, received by any Loan Party as agent on behalf of third parties in accordance with a written agreement that imposes a duty upon a Loan Party to collect and remit those funds to such third parties, (b) any accounts established for employee benefits, withholding tax, customs or other fiduciary purposes and (c) any deposits permitted under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Threshold Amount</w:t>
      </w:r>
      <w:r>
        <w:rPr>
          <w:rFonts w:ascii="Times New Roman;Times;Serif" w:hAnsi="Times New Roman;Times;Serif"/>
          <w:b w:val="false"/>
          <w:i w:val="false"/>
          <w:caps w:val="false"/>
          <w:smallCaps w:val="false"/>
          <w:sz w:val="20"/>
        </w:rPr>
        <w:t>” means $10,000,000.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Credit Exposure</w:t>
      </w:r>
      <w:r>
        <w:rPr>
          <w:rFonts w:ascii="Times New Roman;Times;Serif" w:hAnsi="Times New Roman;Times;Serif"/>
          <w:b w:val="false"/>
          <w:i w:val="false"/>
          <w:caps w:val="false"/>
          <w:smallCaps w:val="false"/>
          <w:sz w:val="20"/>
        </w:rPr>
        <w:t>” means, as to any Lender at any time, the unused Revolving Commitments and the Revolving Exposure of such Lender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Revolving Outstandings</w:t>
      </w:r>
      <w:r>
        <w:rPr>
          <w:rFonts w:ascii="Times New Roman;Times;Serif" w:hAnsi="Times New Roman;Times;Serif"/>
          <w:b w:val="false"/>
          <w:i w:val="false"/>
          <w:caps w:val="false"/>
          <w:smallCaps w:val="false"/>
          <w:sz w:val="20"/>
        </w:rPr>
        <w:t>” means, as of any date of determination, the aggregate Outstanding Amount of all Revolving Loans, Swingline Loans and L/C Obligations as of such date.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means, with respect to a Loan, its character as a Base Rate Loan, a Term SOFR Loan, an Alternative Currency Daily Rate Loan or an Alternative Currency Term Rate Loan.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xml:space="preserve">” means the Uniform Commercial Code as in effect in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UCP</w:t>
      </w:r>
      <w:r>
        <w:rPr>
          <w:rFonts w:ascii="Times New Roman;Times;Serif" w:hAnsi="Times New Roman;Times;Serif"/>
          <w:b w:val="false"/>
          <w:i w:val="false"/>
          <w:caps w:val="false"/>
          <w:smallCaps w:val="false"/>
          <w:sz w:val="20"/>
        </w:rPr>
        <w:t>” means the Uniform Customs and Practice for Documentary Credits, International Chamber of Commerce Publication No. 600 (or such later version thereof as may be in effect at the applicable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mean the United States of America.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Unreimbursed Amount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2.03(c)(i)</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xml:space="preserve">” means any </w:t>
      </w:r>
      <w:r>
        <w:rPr>
          <w:rFonts w:ascii="Times New Roman;Times;Serif" w:hAnsi="Times New Roman;Times;Serif"/>
          <w:b w:val="false"/>
          <w:i w:val="false"/>
          <w:caps w:val="false"/>
          <w:smallCaps w:val="false"/>
          <w:strike/>
          <w:color w:val="FF0000"/>
          <w:sz w:val="20"/>
        </w:rPr>
        <w:t>Business Day, except any Business Day on which any of</w:t>
      </w:r>
      <w:r>
        <w:rPr>
          <w:rFonts w:ascii="Times New Roman;Times;Serif" w:hAnsi="Times New Roman;Times;Serif"/>
          <w:b w:val="false"/>
          <w:i w:val="false"/>
          <w:caps w:val="false"/>
          <w:smallCaps w:val="false"/>
          <w:color w:val="0000FF"/>
          <w:sz w:val="20"/>
          <w:u w:val="single"/>
        </w:rPr>
        <w:t>day except for (a) a Saturday, (b) a Sunday or (c) a day on which</w:t>
      </w:r>
      <w:r>
        <w:rPr>
          <w:rFonts w:ascii="Times New Roman;Times;Serif" w:hAnsi="Times New Roman;Times;Serif"/>
          <w:b w:val="false"/>
          <w:i w:val="false"/>
          <w:caps w:val="false"/>
          <w:smallCaps w:val="false"/>
          <w:sz w:val="20"/>
        </w:rPr>
        <w:t xml:space="preserve"> the Securities Industry and Financial Markets Association</w:t>
      </w:r>
      <w:r>
        <w:rPr>
          <w:rFonts w:ascii="Times New Roman;Times;Serif" w:hAnsi="Times New Roman;Times;Serif"/>
          <w:b w:val="false"/>
          <w:i w:val="false"/>
          <w:caps w:val="false"/>
          <w:smallCaps w:val="false"/>
          <w:strike/>
          <w:color w:val="FF0000"/>
          <w:sz w:val="20"/>
        </w:rPr>
        <w:t>, the New York Stock Exchange or the Federal Reserve Bank of New York is not open for business because such day is a legal holiday under the federal laws of the United States or the laws of the State of New York, as applicable.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recommends that the fixed income departments of its members be closed for the entire day for purposes of trading in United States government securities.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Loan Party</w:t>
      </w:r>
      <w:r>
        <w:rPr>
          <w:rFonts w:ascii="Times New Roman;Times;Serif" w:hAnsi="Times New Roman;Times;Serif"/>
          <w:b w:val="false"/>
          <w:i w:val="false"/>
          <w:caps w:val="false"/>
          <w:smallCaps w:val="false"/>
          <w:sz w:val="20"/>
        </w:rPr>
        <w:t xml:space="preserve">” means any Loan Party that is organized under the laws of one of the states of the United States </w:t>
      </w:r>
      <w:r>
        <w:rPr>
          <w:rFonts w:ascii="Times New Roman;Times;Serif" w:hAnsi="Times New Roman;Times;Serif"/>
          <w:b w:val="false"/>
          <w:i w:val="false"/>
          <w:caps w:val="false"/>
          <w:smallCaps w:val="false"/>
          <w:color w:val="0000FF"/>
          <w:sz w:val="20"/>
          <w:u w:val="single"/>
        </w:rPr>
        <w:t xml:space="preserve">or the District of Columbia </w:t>
      </w:r>
      <w:r>
        <w:rPr>
          <w:rFonts w:ascii="Times New Roman;Times;Serif" w:hAnsi="Times New Roman;Times;Serif"/>
          <w:b w:val="false"/>
          <w:i w:val="false"/>
          <w:caps w:val="false"/>
          <w:smallCaps w:val="false"/>
          <w:sz w:val="20"/>
        </w:rPr>
        <w:t>and that is not a CFC.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any Person that is a “United States Person” as defined in Section 7701(a)(30) of the Code.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3.01(e)(ii)(B)(3)</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means, with respect to any Person, Equity Interests issued by such Person the holders of which are ordinarily, in the absence of contingencies, entitled to vote for the election of directors (or persons performing similar functions) of such Person, whether or not the right to so vote has been suspended by the happening of such contingency.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Watch Tariff Matter</w:t>
      </w:r>
      <w:r>
        <w:rPr>
          <w:rFonts w:ascii="Times New Roman;Times;Serif" w:hAnsi="Times New Roman;Times;Serif"/>
          <w:b w:val="false"/>
          <w:i w:val="false"/>
          <w:caps w:val="false"/>
          <w:smallCaps w:val="false"/>
          <w:sz w:val="20"/>
        </w:rPr>
        <w:t>” means the pending audit by U.S. Customs and Border Protection (“U.S. Customs”) of the Parent’s methodology for allocating the cost of certain watch styles imported in the U.S. among the component parts of those watches for tariff purposes, pursuant to which U.S. Customs issued an audit report in December 2016 proposing an alternative methodology that would imply approximately $5,100,000 in underpaid duties of the five year period within the applicable statute of limitations, plus possible penalties and interest.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w:t>
      </w:r>
      <w:r>
        <w:rPr>
          <w:rFonts w:ascii="Times New Roman;Times;Serif" w:hAnsi="Times New Roman;Times;Serif"/>
          <w:b w:val="false"/>
          <w:i w:val="false"/>
          <w:caps w:val="false"/>
          <w:smallCaps w:val="false"/>
          <w:sz w:val="20"/>
        </w:rPr>
        <w:t>” means, with respect to a Subsidiary of a Person, 100% of the outstanding Equity Interests of such Subsidiary (other than directors’ or nominee shares required under Law) are owned by such Person or one or more Wholly-owned Subsidiaries of such Person.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val="false"/>
          <w:caps w:val="false"/>
          <w:smallCaps w:val="false"/>
          <w:sz w:val="20"/>
          <w:u w:val="single"/>
        </w:rPr>
        <w:t>Other Interpretive Provisions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this Agreement and each other Loan Document, unless otherwise specified herein or in such other Loan Document:</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 Any and all references to “Borrower” regardless of whether preceded by the term a, any, each of, all, and/or, the, or any other similar term shall be deemed to refer, as the context requires, to each and every (and/or any one or all) parties constituting a Borrower, individually and/or in the aggregate.</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t>In the computation of periods of time from a specified date to a later specified date, the word “from” means “from and including;” the words “to” and “until” each mean “to but excluding;” and the word “through” means “to and including.”</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left"/>
              <w:rPr/>
            </w:pPr>
            <w:r>
              <w:rPr/>
              <w:t>Section headings herein and in the other Loan Documents are included for convenience of reference only and shall not affect the interpretation of this Agreement or any other Loan Document.</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left"/>
              <w:rPr/>
            </w:pPr>
            <w:r>
              <w:rPr/>
              <w:t>In this Agreement, where it relates to a Foreign Guarantor established in the Netherlands or any other Subsidiary established in the Netherlands or to any Dutch law governed security, a reference to (i) necessary organizational actions, where applicable, include any action required to comply with the Works Councils Act of the Netherlands (</w:t>
            </w:r>
            <w:r>
              <w:rPr>
                <w:i/>
              </w:rPr>
              <w:t>Wet op de ondernemingsraden</w:t>
            </w:r>
            <w:r>
              <w:rPr/>
              <w:t>) and obtaining of an unconditional positive advice (</w:t>
            </w:r>
            <w:r>
              <w:rPr>
                <w:i/>
              </w:rPr>
              <w:t>advies</w:t>
            </w:r>
            <w:r>
              <w:rPr/>
              <w:t>) from the competent works council(s), (ii) a Lien or security interest includes any mortgage (</w:t>
            </w:r>
            <w:r>
              <w:rPr>
                <w:i/>
              </w:rPr>
              <w:t>hypotheek</w:t>
            </w:r>
            <w:r>
              <w:rPr/>
              <w:t>), pledge (</w:t>
            </w:r>
            <w:r>
              <w:rPr>
                <w:i/>
              </w:rPr>
              <w:t>pandrecht</w:t>
            </w:r>
            <w:r>
              <w:rPr/>
              <w:t>), financial collateral agreement (</w:t>
            </w:r>
            <w:r>
              <w:rPr>
                <w:i/>
              </w:rPr>
              <w:t>financiëlezekerheidsovereenkomst</w:t>
            </w:r>
            <w:r>
              <w:rPr/>
              <w:t>), privilege (</w:t>
            </w:r>
            <w:r>
              <w:rPr>
                <w:i/>
              </w:rPr>
              <w:t>voorrecht</w:t>
            </w:r>
            <w:r>
              <w:rPr/>
              <w:t>), retention of title arrangement (</w:t>
            </w:r>
            <w:r>
              <w:rPr>
                <w:i/>
              </w:rPr>
              <w:t>eigendomsvoorbehoud</w:t>
            </w:r>
            <w:r>
              <w:rPr/>
              <w:t>), right of retention (</w:t>
            </w:r>
            <w:r>
              <w:rPr>
                <w:i/>
              </w:rPr>
              <w:t>recht van retentie</w:t>
            </w:r>
            <w:r>
              <w:rPr/>
              <w:t>), right to reclaim goods (</w:t>
            </w:r>
            <w:r>
              <w:rPr>
                <w:i/>
              </w:rPr>
              <w:t>recht van reclame</w:t>
            </w:r>
            <w:r>
              <w:rPr/>
              <w:t>) and, in general, any right in rem (</w:t>
            </w:r>
            <w:r>
              <w:rPr>
                <w:i/>
              </w:rPr>
              <w:t>beperkt recht</w:t>
            </w:r>
            <w:r>
              <w:rPr/>
              <w:t>), created for the purpose of granting security (</w:t>
            </w:r>
            <w:r>
              <w:rPr>
                <w:i/>
              </w:rPr>
              <w:t>goederenrechtelijk zekerheidsrecht</w:t>
            </w:r>
            <w:r>
              <w:rPr/>
              <w:t>), (iii) a winding up, liquidation, bankruptcy, insolvency and administration (and any of those terms) includes a Dutch entity being declared bankrupt (</w:t>
            </w:r>
            <w:r>
              <w:rPr>
                <w:i/>
              </w:rPr>
              <w:t>failliet verklaard</w:t>
            </w:r>
            <w:r>
              <w:rPr/>
              <w:t>) or dissolved (</w:t>
            </w:r>
            <w:r>
              <w:rPr>
                <w:i/>
              </w:rPr>
              <w:t>ontbonden</w:t>
            </w:r>
            <w:r>
              <w:rPr/>
              <w:t xml:space="preserve">), (iv) a moratorium includes </w:t>
            </w:r>
            <w:r>
              <w:rPr>
                <w:i/>
              </w:rPr>
              <w:t>surseance van betaling</w:t>
            </w:r>
            <w:r>
              <w:rPr/>
              <w:t>, (v) bankruptcy or insolvency proceedings include (A) bankruptcy (</w:t>
            </w:r>
            <w:r>
              <w:rPr>
                <w:i/>
              </w:rPr>
              <w:t>faillissement</w:t>
            </w:r>
            <w:r>
              <w:rPr/>
              <w:t>), suspension of payments (</w:t>
            </w:r>
            <w:r>
              <w:rPr>
                <w:i/>
              </w:rPr>
              <w:t>surseance van betaling</w:t>
            </w:r>
            <w:r>
              <w:rPr/>
              <w:t>) or any other procedure having the effect that the entity to which it applies loses the free management or ability to dispose of its property</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(irrespective of whether the procedure is provisional or final) and (B) dissolution (</w:t>
      </w:r>
      <w:r>
        <w:rPr>
          <w:rFonts w:ascii="Times New Roman;Times;Serif" w:hAnsi="Times New Roman;Times;Serif"/>
          <w:b w:val="false"/>
          <w:i/>
          <w:caps w:val="false"/>
          <w:smallCaps w:val="false"/>
          <w:sz w:val="20"/>
        </w:rPr>
        <w:t>ontbinding</w:t>
      </w:r>
      <w:r>
        <w:rPr>
          <w:rFonts w:ascii="Times New Roman;Times;Serif" w:hAnsi="Times New Roman;Times;Serif"/>
          <w:b w:val="false"/>
          <w:i w:val="false"/>
          <w:caps w:val="false"/>
          <w:smallCaps w:val="false"/>
          <w:sz w:val="20"/>
        </w:rPr>
        <w:t>) or any other procedure having the effect that the entity to which it applies ceases to exist, (vi) any step, action or procedure taken in connection with, or acquiescence in, bankruptcy or insolvency proceedings includes filing or having filed a notice under Section 36 of the Tax Collection Act of the Netherlands (</w:t>
      </w:r>
      <w:r>
        <w:rPr>
          <w:rFonts w:ascii="Times New Roman;Times;Serif" w:hAnsi="Times New Roman;Times;Serif"/>
          <w:b w:val="false"/>
          <w:i/>
          <w:caps w:val="false"/>
          <w:smallCaps w:val="false"/>
          <w:sz w:val="20"/>
        </w:rPr>
        <w:t>Invorderingswet 1990</w:t>
      </w:r>
      <w:r>
        <w:rPr>
          <w:rFonts w:ascii="Times New Roman;Times;Serif" w:hAnsi="Times New Roman;Times;Serif"/>
          <w:b w:val="false"/>
          <w:i w:val="false"/>
          <w:caps w:val="false"/>
          <w:smallCaps w:val="false"/>
          <w:sz w:val="20"/>
        </w:rPr>
        <w:t>) or Section 60 of the Social Insurance Financing Act of the Netherlands (</w:t>
      </w:r>
      <w:r>
        <w:rPr>
          <w:rFonts w:ascii="Times New Roman;Times;Serif" w:hAnsi="Times New Roman;Times;Serif"/>
          <w:b w:val="false"/>
          <w:i/>
          <w:caps w:val="false"/>
          <w:smallCaps w:val="false"/>
          <w:sz w:val="20"/>
        </w:rPr>
        <w:t>Wet Financiering Sociale Verzekeringen</w:t>
      </w:r>
      <w:r>
        <w:rPr>
          <w:rFonts w:ascii="Times New Roman;Times;Serif" w:hAnsi="Times New Roman;Times;Serif"/>
          <w:b w:val="false"/>
          <w:i w:val="false"/>
          <w:caps w:val="false"/>
          <w:smallCaps w:val="false"/>
          <w:sz w:val="20"/>
        </w:rPr>
        <w:t>) in conjunction with Section 36 of the Tax Collection Act of the Netherlands (</w:t>
      </w:r>
      <w:r>
        <w:rPr>
          <w:rFonts w:ascii="Times New Roman;Times;Serif" w:hAnsi="Times New Roman;Times;Serif"/>
          <w:b w:val="false"/>
          <w:i/>
          <w:caps w:val="false"/>
          <w:smallCaps w:val="false"/>
          <w:sz w:val="20"/>
        </w:rPr>
        <w:t>Invorderingswet 1990</w:t>
      </w:r>
      <w:r>
        <w:rPr>
          <w:rFonts w:ascii="Times New Roman;Times;Serif" w:hAnsi="Times New Roman;Times;Serif"/>
          <w:b w:val="false"/>
          <w:i w:val="false"/>
          <w:caps w:val="false"/>
          <w:smallCaps w:val="false"/>
          <w:sz w:val="20"/>
        </w:rPr>
        <w:t xml:space="preserve">), (vii) a receiver or trustee includes a curator, (viii) an administrator (in the context of a moratorium, suspension of payments or other insolvency or bankruptcy proceedings) includes a </w:t>
      </w:r>
      <w:r>
        <w:rPr>
          <w:rFonts w:ascii="Times New Roman;Times;Serif" w:hAnsi="Times New Roman;Times;Serif"/>
          <w:b w:val="false"/>
          <w:i/>
          <w:caps w:val="false"/>
          <w:smallCaps w:val="false"/>
          <w:sz w:val="20"/>
        </w:rPr>
        <w:t>bewindvoerder</w:t>
      </w:r>
      <w:r>
        <w:rPr>
          <w:rFonts w:ascii="Times New Roman;Times;Serif" w:hAnsi="Times New Roman;Times;Serif"/>
          <w:b w:val="false"/>
          <w:i w:val="false"/>
          <w:caps w:val="false"/>
          <w:smallCaps w:val="false"/>
          <w:sz w:val="20"/>
        </w:rPr>
        <w:t xml:space="preserve">, (ix) an attachment includes a </w:t>
      </w:r>
      <w:r>
        <w:rPr>
          <w:rFonts w:ascii="Times New Roman;Times;Serif" w:hAnsi="Times New Roman;Times;Serif"/>
          <w:b w:val="false"/>
          <w:i/>
          <w:caps w:val="false"/>
          <w:smallCaps w:val="false"/>
          <w:sz w:val="20"/>
        </w:rPr>
        <w:t>beslag</w:t>
      </w:r>
      <w:r>
        <w:rPr>
          <w:rFonts w:ascii="Times New Roman;Times;Serif" w:hAnsi="Times New Roman;Times;Serif"/>
          <w:b w:val="false"/>
          <w:i w:val="false"/>
          <w:caps w:val="false"/>
          <w:smallCaps w:val="false"/>
          <w:sz w:val="20"/>
        </w:rPr>
        <w:t xml:space="preserve">, (x) a merger includes a </w:t>
      </w:r>
      <w:r>
        <w:rPr>
          <w:rFonts w:ascii="Times New Roman;Times;Serif" w:hAnsi="Times New Roman;Times;Serif"/>
          <w:b w:val="false"/>
          <w:i/>
          <w:caps w:val="false"/>
          <w:smallCaps w:val="false"/>
          <w:sz w:val="20"/>
        </w:rPr>
        <w:t>juridische fusie</w:t>
      </w:r>
      <w:r>
        <w:rPr>
          <w:rFonts w:ascii="Times New Roman;Times;Serif" w:hAnsi="Times New Roman;Times;Serif"/>
          <w:b w:val="false"/>
          <w:i w:val="false"/>
          <w:caps w:val="false"/>
          <w:smallCaps w:val="false"/>
          <w:sz w:val="20"/>
        </w:rPr>
        <w:t xml:space="preserve"> and (xi) a Subsidiary includes a </w:t>
      </w:r>
      <w:r>
        <w:rPr>
          <w:rFonts w:ascii="Times New Roman;Times;Serif" w:hAnsi="Times New Roman;Times;Serif"/>
          <w:b w:val="false"/>
          <w:i/>
          <w:caps w:val="false"/>
          <w:smallCaps w:val="false"/>
          <w:sz w:val="20"/>
        </w:rPr>
        <w:t>dochtermaatschappij</w:t>
      </w:r>
      <w:r>
        <w:rPr>
          <w:rFonts w:ascii="Times New Roman;Times;Serif" w:hAnsi="Times New Roman;Times;Serif"/>
          <w:b w:val="false"/>
          <w:i w:val="false"/>
          <w:caps w:val="false"/>
          <w:smallCaps w:val="false"/>
          <w:sz w:val="20"/>
        </w:rPr>
        <w:t xml:space="preserve"> as defined in Article 2:24a of the Dutch Civil Code (</w:t>
      </w:r>
      <w:r>
        <w:rPr>
          <w:rFonts w:ascii="Times New Roman;Times;Serif" w:hAnsi="Times New Roman;Times;Serif"/>
          <w:b w:val="false"/>
          <w:i/>
          <w:caps w:val="false"/>
          <w:smallCaps w:val="false"/>
          <w:sz w:val="20"/>
        </w:rPr>
        <w:t>Burgerlijk Wetboek</w:t>
      </w:r>
      <w:r>
        <w:rPr>
          <w:rFonts w:ascii="Times New Roman;Times;Serif" w:hAnsi="Times New Roman;Times;Serif"/>
          <w:b w:val="false"/>
          <w:i w:val="false"/>
          <w:caps w:val="false"/>
          <w:smallCaps w:val="false"/>
          <w:sz w:val="20"/>
        </w:rPr>
        <w:t>). In this Agreement, a reference to any person incorporated or established in the Netherlands includes a general partnership (</w:t>
      </w:r>
      <w:r>
        <w:rPr>
          <w:rFonts w:ascii="Times New Roman;Times;Serif" w:hAnsi="Times New Roman;Times;Serif"/>
          <w:b w:val="false"/>
          <w:i/>
          <w:caps w:val="false"/>
          <w:smallCaps w:val="false"/>
          <w:sz w:val="20"/>
        </w:rPr>
        <w:t>vennootschap onder firma</w:t>
      </w:r>
      <w:r>
        <w:rPr>
          <w:rFonts w:ascii="Times New Roman;Times;Serif" w:hAnsi="Times New Roman;Times;Serif"/>
          <w:b w:val="false"/>
          <w:i w:val="false"/>
          <w:caps w:val="false"/>
          <w:smallCaps w:val="false"/>
          <w:sz w:val="20"/>
        </w:rPr>
        <w:t>), a limited partnership (</w:t>
      </w:r>
      <w:r>
        <w:rPr>
          <w:rFonts w:ascii="Times New Roman;Times;Serif" w:hAnsi="Times New Roman;Times;Serif"/>
          <w:b w:val="false"/>
          <w:i/>
          <w:caps w:val="false"/>
          <w:smallCaps w:val="false"/>
          <w:sz w:val="20"/>
        </w:rPr>
        <w:t>commanditaire vennootschap</w:t>
      </w:r>
      <w:r>
        <w:rPr>
          <w:rFonts w:ascii="Times New Roman;Times;Serif" w:hAnsi="Times New Roman;Times;Serif"/>
          <w:b w:val="false"/>
          <w:i w:val="false"/>
          <w:caps w:val="false"/>
          <w:smallCaps w:val="false"/>
          <w:sz w:val="20"/>
        </w:rPr>
        <w:t>) or other partnership (</w:t>
      </w:r>
      <w:r>
        <w:rPr>
          <w:rFonts w:ascii="Times New Roman;Times;Serif" w:hAnsi="Times New Roman;Times;Serif"/>
          <w:b w:val="false"/>
          <w:i/>
          <w:caps w:val="false"/>
          <w:smallCaps w:val="false"/>
          <w:sz w:val="20"/>
        </w:rPr>
        <w:t>maatschap</w:t>
      </w:r>
      <w:r>
        <w:rPr>
          <w:rFonts w:ascii="Times New Roman;Times;Serif" w:hAnsi="Times New Roman;Times;Serif"/>
          <w:b w:val="false"/>
          <w:i w:val="false"/>
          <w:caps w:val="false"/>
          <w:smallCaps w:val="false"/>
          <w:sz w:val="20"/>
        </w:rPr>
        <w:t>) or other entity and any other temporary or permanent joint venture as well as similar entities incorporated under the laws of any jurisdiction other than the Netherlands. In this Agreement, a refence to the Netherlands means the European part of the Kingdom of the Netherlands and “Dutch” means in or of the Netherlands.</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left"/>
              <w:rPr/>
            </w:pPr>
            <w:r>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i w:val="false"/>
          <w:caps w:val="false"/>
          <w:smallCaps w:val="false"/>
          <w:sz w:val="20"/>
          <w:u w:val="single"/>
        </w:rPr>
        <w:t>Accounting Terms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left"/>
              <w:rPr/>
            </w:pPr>
            <w:r>
              <w:rPr>
                <w:u w:val="single"/>
              </w:rPr>
              <w:t>Generally</w:t>
            </w:r>
            <w:r>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contained herein, Indebtedness of the Borrowers and their Subsidiaries shall be deemed to be carried at 100% of the outstanding principal amount thereof, and the effects of FASB ASC 825 on financial liabilities shall be disregarded.</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left"/>
              <w:rPr/>
            </w:pPr>
            <w:r>
              <w:rPr>
                <w:u w:val="single"/>
              </w:rPr>
              <w:t>Changes in GAAP</w:t>
            </w:r>
            <w:r>
              <w:rPr/>
              <w:t xml:space="preserve">. If at any time any change in GAAP (including the adoption of IFRS) would affect the computation of any financial ratio or requirement set forth in any Loan Document, and either the Parent or the Required Lenders shall so request, the Administrative Agent, the Lenders and the Parent shall negotiate in good faith to amend such ratio or requirement to preserve the original intent thereof in light of such change in GAAP (subject to the approval of the Required Lenders); </w:t>
            </w:r>
            <w:r>
              <w:rPr>
                <w:u w:val="single"/>
              </w:rPr>
              <w:t>provided</w:t>
            </w:r>
            <w:r>
              <w:rPr/>
              <w:t xml:space="preserve"> that, until so amended, (i) such ratio or requirement shall continue to be computed in accordance with GAAP as in effect prior to such change therein and (ii) the Parent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(pursuant to Section 11.01) addressing such changes, as provided for above.</w:t>
            </w:r>
          </w:p>
        </w:tc>
      </w:tr>
    </w:tbl>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left"/>
              <w:rPr/>
            </w:pPr>
            <w:r>
              <w:rPr>
                <w:u w:val="single"/>
              </w:rPr>
              <w:t>Pro Forma Treatment</w:t>
            </w:r>
            <w:r>
              <w:rPr/>
              <w:t>. Each Disposition of all or substantially all of a line of business, and each Acquisition, by any Borrower and its Subsidiaries that is consummated during any Measurement Period shall, for purposes of determining compliance with the financial covenants set forth in Section 7.11 and for purposes of determining the Applicable Rate, be given Pro Forma Effect as of the first day of such Measurement Period.</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i w:val="false"/>
          <w:caps w:val="false"/>
          <w:smallCaps w:val="false"/>
          <w:sz w:val="20"/>
          <w:u w:val="single"/>
        </w:rPr>
        <w:t>Rounding</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i w:val="false"/>
          <w:caps w:val="false"/>
          <w:smallCaps w:val="false"/>
          <w:sz w:val="20"/>
          <w:u w:val="single"/>
        </w:rPr>
        <w:t>Times of Day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all references herein to times of day shall be references to Eastern time (daylight or standard, as applicable).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i w:val="false"/>
          <w:caps w:val="false"/>
          <w:smallCaps w:val="false"/>
          <w:sz w:val="20"/>
          <w:u w:val="single"/>
        </w:rPr>
        <w:t>Letter of Credit Amounts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specified herein, the amount of a Letter of Credit at any time shall be deemed to be the Dollar Equivalent of the stated amount of such Letter of Credit in effect at such time;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i w:val="false"/>
          <w:caps w:val="false"/>
          <w:smallCaps w:val="false"/>
          <w:sz w:val="20"/>
          <w:u w:val="single"/>
        </w:rPr>
        <w:t>UCC Terms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i w:val="false"/>
          <w:caps w:val="false"/>
          <w:smallCaps w:val="false"/>
          <w:sz w:val="20"/>
          <w:u w:val="single"/>
        </w:rPr>
        <w:t>Currency Equivalents; Exchange Rates</w:t>
      </w:r>
      <w:r>
        <w:rPr>
          <w:rFonts w:ascii="Times New Roman;Times;Serif" w:hAnsi="Times New Roman;Times;Serif"/>
          <w:b w:val="false"/>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left"/>
              <w:rPr/>
            </w:pPr>
            <w:r>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tc>
      </w:tr>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left"/>
              <w:rPr/>
            </w:pPr>
            <w:r>
              <w:rPr/>
              <w:t>Wherever in this Agreement in connection with a Revolving Borrowing, the conversion, continuation or prepayment of an Alternative Currency Loan or the issuance, amendment or extension of a Letter of Credit, an amount, such as a required minimum or multiple amount, is expressed in Dollars, but such Revolving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tc>
      </w:tr>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9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(c)</w:t>
            </w:r>
          </w:p>
        </w:tc>
        <w:tc>
          <w:tcPr>
            <w:tcW w:w="9907" w:type="dxa"/>
            <w:tcBorders/>
            <w:vAlign w:val="center"/>
          </w:tcPr>
          <w:p>
            <w:pPr>
              <w:pStyle w:val="TableContents"/>
              <w:bidi w:val="0"/>
              <w:spacing w:before="0" w:after="283"/>
              <w:jc w:val="left"/>
              <w:rPr/>
            </w:pPr>
            <w:r>
              <w:rPr/>
              <w:t>The Administrative Agent does not warrant, nor accept responsibility, nor shall the Administrative Agent have any liability with respect to the administration, submission or any other matter related to the rates in the definition of “Term SOFR”, “Alternative Currency Daily Rate”, “Alternative Currency Term Rate” or with respect to any rate (including, for the avoidance of doubt, the selection of such rate and any related</w:t>
            </w:r>
          </w:p>
        </w:tc>
      </w:tr>
    </w:tbl>
    <w:p>
      <w:pPr>
        <w:pStyle w:val="TextBody"/>
        <w:bidi w:val="0"/>
        <w:spacing w:before="0" w:after="0"/>
        <w:ind w:left="2160" w:right="0" w:hanging="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spread or other adjustment) that is an alternative or replacement for or successor to any such rate (including, without limitation, any SOFR Successor Rate or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SOFR Successor Rate or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SOFR Successor Rate or Successor Rate) (or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1.09        </w:t>
      </w:r>
      <w:r>
        <w:rPr>
          <w:rFonts w:ascii="Times New Roman;Times;Serif" w:hAnsi="Times New Roman;Times;Serif"/>
          <w:b/>
          <w:i w:val="false"/>
          <w:caps w:val="false"/>
          <w:smallCaps w:val="false"/>
          <w:sz w:val="20"/>
          <w:u w:val="single"/>
        </w:rPr>
        <w:t>Additional Alternative Currencies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left"/>
              <w:rPr/>
            </w:pPr>
            <w:r>
              <w:rPr/>
              <w:t xml:space="preserve">A Borrower may from time to time request that Alternative Currency Loans be made and/or Letters of Credit be issued in a currency other than those specifically listed in the definition of “Alternative Currency”; </w:t>
            </w:r>
            <w:r>
              <w:rPr>
                <w:u w:val="single"/>
              </w:rPr>
              <w:t>provided</w:t>
            </w:r>
            <w:r>
              <w:rPr/>
              <w:t xml:space="preserve"> that such requested currency is an Eligible Currency. In the case of any such request with respect to the making of Alternative Currency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L/C Issuer in their sole discretion.</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t>Any such request shall be made to the Administrative Agent not later than 11:00 a.m. (New York City time), twenty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Alternative Currency Loans, the Administrative Agent shall promptly notify each Appropriate Lender thereof; and in the case of any such request pertaining to Letters of Credit, the Administrative Agent shall promptly notify the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 Issuer thereof. Each Appropriate Lender (in the case of any such request pertaining to Alternative Currency Loans) or the L/C Issuer (in the case of a request pertaining to Letters of Credit) shall notify the Administrative Agent, not later than 11:00 a.m. (New York City time), ten (10) Business Days after receipt of such request whether it consents, in its sole discretion, to the making of Alternative Currency Loans or the issuance of Letters of Credit, as the case may be, in such requested currency.</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(c)</w:t>
            </w:r>
          </w:p>
        </w:tc>
        <w:tc>
          <w:tcPr>
            <w:tcW w:w="9966" w:type="dxa"/>
            <w:tcBorders/>
            <w:vAlign w:val="center"/>
          </w:tcPr>
          <w:p>
            <w:pPr>
              <w:pStyle w:val="TableContents"/>
              <w:bidi w:val="0"/>
              <w:spacing w:before="0" w:after="283"/>
              <w:jc w:val="left"/>
              <w:rPr/>
            </w:pPr>
            <w:r>
              <w:rPr/>
              <w:t>Any failure by a Lender or the L/C Issuer, as the case may be, to respond to such request within the time period specified in the preceding sentence shall be deemed to be a refusal by such Lender or the L/C Issuer, as the case may be, to permit Alternative Currency Loans to be made or Letters of Credit to be issued in such requested currency. If the Administrative Agent and all the Appropriate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Borrowers and (i) the Administrative Agent, the Borrowers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Borrowings of Alternative Currency Loans. If the Administrative Agent and the L/C Issuer consent to the issuance of Letters of Credit in such requested currency, the Administrative Agent shall so notify the Borrowers and (A) the Administrative Agent, the Borrowers and the L/C Issuer may amend the definition of Alternative Currency Daily Rate or Alternative Currency Term Rate, as applicable, to the extent necessary to add the applicable rate for such currency and any applicable adjustment for such rate and (B)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Section 1.09, the Administrative Agent shall promptly so notify the Borrowers.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1.10        </w:t>
      </w:r>
      <w:r>
        <w:rPr>
          <w:rFonts w:ascii="Times New Roman;Times;Serif" w:hAnsi="Times New Roman;Times;Serif"/>
          <w:b/>
          <w:i w:val="false"/>
          <w:caps w:val="false"/>
          <w:smallCaps w:val="false"/>
          <w:sz w:val="20"/>
          <w:u w:val="single"/>
        </w:rPr>
        <w:t>Change of Currency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obligation of a Borrower to make a payment denominated in the national currency unit of any member state of the European Union that adopts the Euro as its lawful currency after the Closing Date shall be redenominated into Euro at the time of such adoption. If, in relation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provided that if any Revolving Borrowing in the currency of such member state is outstanding immediately prior to such date, such replacement shall take effect, with respect to such Revolving Borrowing, at the end of the then current Interest Period.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CREDIT EXTENSIONS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2.01        </w:t>
      </w:r>
      <w:r>
        <w:rPr>
          <w:rFonts w:ascii="Times New Roman;Times;Serif" w:hAnsi="Times New Roman;Times;Serif"/>
          <w:b/>
          <w:i w:val="false"/>
          <w:caps w:val="false"/>
          <w:smallCaps w:val="false"/>
          <w:sz w:val="20"/>
          <w:u w:val="single"/>
        </w:rPr>
        <w:t>Revolving Loans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herein, each Revolving Lender severally agrees to make loans (each such loan, a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to each of the Borrowers in Dollars or in one or more Alternative Currencies, from time to time, on any Business Day during the Availability Period, in an aggregate amount not to exceed at any time outstanding the amount of such Lender’s Revolving Commitment;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after giving effect to any Revolving Borrowing, (i) the Total Revolving Outstandings shall not exceed the Revolving Facility, (ii) the Revolving Exposure of any Lender shall not exceed such Revolving Lender’s Revolving Commitment, and (iii) the aggregate Outstanding Amount of all Revolving Loans made to Foreign Borrowers shall not exceed the Foreign Borrower Sublimit. Within the limits of each Revolving Lender’s Revolving Commitment, and subject to the other terms and conditions hereof, the Borrowers may each borrow Revolving Loans, prepay under Section 2.05, and reborrow under this Section 2.01. Revolving Loans may be Base Rate Loans, Term SOFR Loans, Alternative Currency Daily Rate Loans or Alternative Currency Term Rate Loans, as further provided herein;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any Revolving Borrowings made on the Closing Date or any of the three (3) Business Days following the Closing Date shall be made as Base Rate Loans unless the Borrowers deliver a Funding Indemnity Letter not less than three (3) Business Days prior to the date of such Revolving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Alternative Currency Loans will be Alternative Daily Rate Loans or Alternative Currency Term Rate Loans.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2.02        </w:t>
      </w:r>
      <w:r>
        <w:rPr>
          <w:rFonts w:ascii="Times New Roman;Times;Serif" w:hAnsi="Times New Roman;Times;Serif"/>
          <w:b/>
          <w:i w:val="false"/>
          <w:caps w:val="false"/>
          <w:smallCaps w:val="false"/>
          <w:sz w:val="20"/>
          <w:u w:val="single"/>
        </w:rPr>
        <w:t>Borrowings, Conversions and Continuations of Loans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left"/>
              <w:rPr/>
            </w:pPr>
            <w:r>
              <w:rPr>
                <w:u w:val="single"/>
              </w:rPr>
              <w:t>Notice of Borrowing</w:t>
            </w:r>
            <w:r>
              <w:rPr/>
              <w:t>. Each Borrowing, each conversion of Loans from one Type to the other, and each continuation of a Term SOFR Loan or an Alternative Currency Term Rate Loan shall be made upon the applicable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Borrower’s irrevocable notice to the Administrative Agent, which may be given by: (A) telephone or (B) a Loan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telephonic notice must be confirmed promptly by delivery to the Administrative Agent of a Loan Notice. Each such Loan Notice must be received by the Administrative Agent not later than 11:00 a.m. (New York City time), (i) three (3) Business Days prior to the requested date of any Borrowing of, conversion to or continuation of Term SOFR Loans or of any conversion of Term SOFR Loans to Base Rate Loans, (ii) four (4) Business Days (or five (5) Business Days in the case of a Special Notice Currency) prior to the requested date of any Borrowing or continuation of Alternative Currency Loans, and (iii) on the requested date of any Borrowing of Base Rate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applicable Borrower wishes to request Term SOFR Loans or Alternative Currency Term Rate Loans having an Interest Period other than one (1), three (3) or six (6) months in duration as provided in the definition of “Interest Period”, the applicable notice must be received by the Administrative Agent not later than 11:00 a.m. (New York City time) (i) four (4) Business Days prior to the requested date of such Borrowing, conversion or continuation of Term SOFR Loans, or (ii) five (5) Business Days (or six (6) Business Days in the case of a Special Notice Currency) prior to the requested date of such Borrower, conversion or continuation of Alternative Currency Term Rate Loans, whereupon the Administrative Agent shall give prompt notice to the Appropriate Lenders of such request and determine whether the requested Interest Period is acceptable to all of them. Each Borrowing of, conversion to or continuation of Term SOFR Loans or Alternative Currency Loans shall be in a principal amount of the Dollar Equivalent of $1,000,000 or a whole multiple of the Dollar Equivalent of $1,000,000 in excess thereof. Except as provided in Sections 2.03(c) and 2.04(c), each Borrowing of or conversion to Base Rate Loans shall be in a principal amount of the Dollar Equivalent of $500,000 or a whole multiple of the Dollar Equivalent of $100,000 in excess thereof. Each Loan Notice and each telephonic notice shall specify (A) whether the applicable Borrower is requesting a Borrowing, a conversion of Loans from one Type to the other, or a continuation of Loans, as the case may be, (B) the requested date of the Borrowing, conversion or continuation, as the case may be (which shall be a Business Day), (C) the principal amount of Loans to be borrowed, converted or continued, (D) the Type of Loans to be borrowed or to which existing Loans are to be converted, and (E) if applicable, the duration of the Interest Period with respect thereto, (F) the currency of the Revolving Loans to be borrowed, and (G) if applicable, the Designated Borrower. If the Parent fails to specify a currency in a Loan Notice requesting a Revolving Borrowing, then the Revolving Loans so requested shall be made in Dollars. If any Borrower fails to specify a Type of Loan in a Loan Notice or if such Borrower fails to give a timely notice requesting a conversion or continuation, then the applicable Loans shall be made as, 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converted to, Base Rate Loans; provided, however, that in the case of a failure to timely request a continuation of Alternative Currency Term Rate Loans, such Revolving Loans shall be continued as Alternative Currency Term Rate Loans in their original currency with an Interest Period of one (1) month. If any Borrower requests a Borrowing of, conversion to, or continuation of Term SOFR Loans or Alternative Currency Term Rate Loans in any such Loan Notice, but fails to specify an Interest Period, it will be deemed to have specified an Interest Period of one (1) month. Notwithstanding anything to the contrary herein, a Swingline Loan may not be converted to a Term SOFR Loan or Alternative Currency Loan. Except as provided pursuant to </w:t>
      </w:r>
      <w:r>
        <w:rPr>
          <w:rFonts w:ascii="Times New Roman;Times;Serif" w:hAnsi="Times New Roman;Times;Serif"/>
          <w:b w:val="false"/>
          <w:i w:val="false"/>
          <w:caps w:val="false"/>
          <w:smallCaps w:val="false"/>
          <w:sz w:val="20"/>
          <w:u w:val="single"/>
        </w:rPr>
        <w:t>Section 2.02(c)</w:t>
      </w:r>
      <w:r>
        <w:rPr>
          <w:rFonts w:ascii="Times New Roman;Times;Serif" w:hAnsi="Times New Roman;Times;Serif"/>
          <w:b w:val="false"/>
          <w:i w:val="false"/>
          <w:caps w:val="false"/>
          <w:smallCaps w:val="false"/>
          <w:sz w:val="20"/>
        </w:rPr>
        <w:t>, no Loan may be converted into or continued as a Loan denominated in a different currency, but instead must be repaid in the original currency of such Loan and reborrowed in the other currency.</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left"/>
              <w:rPr/>
            </w:pPr>
            <w:r>
              <w:rPr>
                <w:u w:val="single"/>
              </w:rPr>
              <w:t>Advances</w:t>
            </w:r>
            <w:r>
              <w:rPr/>
              <w:t xml:space="preserve">. Following receipt of a Loan Notice, the Administrative Agent shall promptly notify each Appropriate Lender of the amount (and currency) of its Applicable Percentage of the applicable Loans, and if no timely notice of a conversion or continuation is provided by the applicable Borrower, the Administrative Agent shall notify each Appropriate Lender of the details of any automatic conversion to Base Rate Loans or continuation of Revolving Loans denominated in a currency other than Dollars, in each case as described in Section 2.02(a). In the case of a Borrowing, each Appropriate Lender shall make the amount of its Loan available to the Administrative Agent in Same Day Funds at the Administrative Agent’s Office for the applicable currency not later than 1:00 p.m. (New York City time), in the case of any Revolving Loan denominated in Dollars, and not later than the Applicable Time specified by the Administrative Agent in the case of any Revolving Loan in an Alternative Currency, in each case on the Business Day specified in the applicable Loan Notice. Upon satisfaction of the applicable conditions set forth in Section 4.02 (and, if such Borrowing is the initial Credit Extension, Section 4.01), the Administrative Agent shall make all funds so received available to the applicable Borrower in like funds as received by the Administrative Agent either by (i) crediting the account of the applicable Borrower on the books of Bank of America with the amount of such funds or (ii) wire transfer of such funds, in each case in accordance with instructions provided to (and reasonably acceptable to) the Administrative Agent by the applicable Borrower; </w:t>
            </w:r>
            <w:r>
              <w:rPr>
                <w:u w:val="single"/>
              </w:rPr>
              <w:t>provided</w:t>
            </w:r>
            <w:r>
              <w:rPr/>
              <w:t xml:space="preserve">, </w:t>
            </w:r>
            <w:r>
              <w:rPr>
                <w:u w:val="single"/>
              </w:rPr>
              <w:t>however</w:t>
            </w:r>
            <w:r>
              <w:rPr/>
              <w:t xml:space="preserve">, that if, on the date a Loan Notice with respect to a Revolving Borrowing denominated in Dollars is given by any Borrower, there are L/C Borrowings outstanding, then the proceeds of such Revolving Borrowing, </w:t>
            </w:r>
            <w:r>
              <w:rPr>
                <w:u w:val="single"/>
              </w:rPr>
              <w:t>first</w:t>
            </w:r>
            <w:r>
              <w:rPr/>
              <w:t xml:space="preserve">, shall be applied to the payment in full of any such L/C Borrowings, and </w:t>
            </w:r>
            <w:r>
              <w:rPr>
                <w:u w:val="single"/>
              </w:rPr>
              <w:t>second</w:t>
            </w:r>
            <w:r>
              <w:rPr/>
              <w:t>, shall be made available to the applicable Borrower as provided above.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left"/>
              <w:rPr/>
            </w:pPr>
            <w:r>
              <w:rPr>
                <w:u w:val="single"/>
              </w:rPr>
              <w:t>Term SOFR Loans; Alternative Currency Term Rate Loans</w:t>
            </w:r>
            <w:r>
              <w:rPr/>
              <w:t>. Except as otherwise provided herein, a Term SOFR Loan or Alternative Currency Term Rate Loan may be continued or converted only on the last day of an Interest Period for such Term SOFR Loan or Alternative Currency Term Rate Loan. During the existence of an Event of Default, the Administrative Agent may (and shall at the direction of the Required Lenders) declare that no Loans may be requested as, converted to or continued as Term SOFR Loans or Alternative Currency Term Rate Loan, that any or all of the then outstanding Term SOFR Loans be converted immediately to Base Rate Loans and any or all of the then outstanding or Alternative Currency Loans be prepaid, or redenominated into Dollars in the amount of the Dollar Equivalent thereof, either immediately (in the case of Alternative Currency Daily Rate Loans) or on the last day of the then current Interest Period with respect thereto (in the case of Alternative Currency Term Rate Loans).</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(d)</w:t>
            </w:r>
          </w:p>
        </w:tc>
        <w:tc>
          <w:tcPr>
            <w:tcW w:w="9939" w:type="dxa"/>
            <w:tcBorders/>
            <w:vAlign w:val="center"/>
          </w:tcPr>
          <w:p>
            <w:pPr>
              <w:pStyle w:val="TableContents"/>
              <w:bidi w:val="0"/>
              <w:spacing w:before="0" w:after="283"/>
              <w:jc w:val="left"/>
              <w:rPr/>
            </w:pPr>
            <w:r>
              <w:rPr>
                <w:u w:val="single"/>
              </w:rPr>
              <w:t>Notice of Interest Rates</w:t>
            </w:r>
            <w:r>
              <w:rPr/>
              <w:t>. The Administrative Agent shall promptly notify the Borrowers and the Lenders of the interest rate applicable to any Interest Period for Term SOFR Loans upon determination of such interest rate. At any time that Base Rate Loans are outstanding, the Administrative Agent shall notify the Borrowers and the Lenders of any change in Bank of America’s prime rate used in determining the Base Rate promptly following the public announcement of such change.</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(e)</w:t>
            </w:r>
          </w:p>
        </w:tc>
        <w:tc>
          <w:tcPr>
            <w:tcW w:w="9943" w:type="dxa"/>
            <w:tcBorders/>
            <w:vAlign w:val="center"/>
          </w:tcPr>
          <w:p>
            <w:pPr>
              <w:pStyle w:val="TableContents"/>
              <w:bidi w:val="0"/>
              <w:spacing w:before="0" w:after="283"/>
              <w:jc w:val="left"/>
              <w:rPr/>
            </w:pPr>
            <w:r>
              <w:rPr>
                <w:u w:val="single"/>
              </w:rPr>
              <w:t>Interest Periods</w:t>
            </w:r>
            <w:r>
              <w:rPr/>
              <w:t>. After giving effect to all Revolving Borrowings, all conversions of Revolving Loans from one Type to the other, and all continuations of Revolving Loans as the same Type, there shall not be more than ten (10) Interest Periods in effect in respect of the Revolving Facility.</w:t>
            </w:r>
          </w:p>
        </w:tc>
      </w:tr>
    </w:tbl>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283"/>
              <w:jc w:val="left"/>
              <w:rPr/>
            </w:pPr>
            <w:r>
              <w:rPr>
                <w:u w:val="single"/>
              </w:rPr>
              <w:t>Cashless Settlement Mechanism</w:t>
            </w:r>
            <w:r>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Borrowers, the Administrative Agent and such Lender.</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(g)</w:t>
            </w:r>
          </w:p>
        </w:tc>
        <w:tc>
          <w:tcPr>
            <w:tcW w:w="9943" w:type="dxa"/>
            <w:tcBorders/>
            <w:vAlign w:val="center"/>
          </w:tcPr>
          <w:p>
            <w:pPr>
              <w:pStyle w:val="TableContents"/>
              <w:bidi w:val="0"/>
              <w:spacing w:before="0" w:after="283"/>
              <w:jc w:val="left"/>
              <w:rPr/>
            </w:pPr>
            <w:r>
              <w:rPr/>
              <w:t xml:space="preserve">With respect to any Alternative Currency Daily Rate or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u w:val="single"/>
              </w:rPr>
              <w:t>provided</w:t>
            </w:r>
            <w:r>
              <w:rPr/>
              <w:t xml:space="preserve"> that, with respect to any such amendment effected, the Administrative Agent shall post each such amendment implementing such Conforming Changes to the Borrower and the Lenders reasonably promptly after such amendment becomes effective.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2.03        </w:t>
      </w:r>
      <w:r>
        <w:rPr>
          <w:rFonts w:ascii="Times New Roman;Times;Serif" w:hAnsi="Times New Roman;Times;Serif"/>
          <w:b/>
          <w:i w:val="false"/>
          <w:caps w:val="false"/>
          <w:smallCaps w:val="false"/>
          <w:sz w:val="20"/>
          <w:u w:val="single"/>
        </w:rPr>
        <w:t>Letters of Credit.</w:t>
      </w:r>
    </w:p>
    <w:tbl>
      <w:tblPr>
        <w:tblW w:w="5000" w:type="pct"/>
        <w:jc w:val="left"/>
        <w:tblInd w:w="0" w:type="dxa"/>
        <w:tblLayout w:type="fixed"/>
        <w:tblCellMar>
          <w:top w:w="0" w:type="dxa"/>
          <w:left w:w="0" w:type="dxa"/>
          <w:bottom w:w="0" w:type="dxa"/>
          <w:right w:w="0" w:type="dxa"/>
        </w:tblCellMar>
      </w:tblPr>
      <w:tblGrid>
        <w:gridCol w:w="108"/>
        <w:gridCol w:w="782"/>
        <w:gridCol w:w="9315"/>
      </w:tblGrid>
      <w:tr>
        <w:trPr/>
        <w:tc>
          <w:tcPr>
            <w:tcW w:w="1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pPr>
            <w:r>
              <w:rPr/>
              <w:t>(a)</w:t>
            </w:r>
          </w:p>
        </w:tc>
        <w:tc>
          <w:tcPr>
            <w:tcW w:w="9315" w:type="dxa"/>
            <w:tcBorders/>
            <w:vAlign w:val="center"/>
          </w:tcPr>
          <w:p>
            <w:pPr>
              <w:pStyle w:val="TableContents"/>
              <w:bidi w:val="0"/>
              <w:spacing w:before="0" w:after="283"/>
              <w:jc w:val="left"/>
              <w:rPr/>
            </w:pPr>
            <w:r>
              <w:rPr>
                <w:u w:val="single"/>
              </w:rPr>
              <w:t>The Letter of Credit Commitment</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val="false"/>
          <w:i w:val="false"/>
          <w:caps w:val="false"/>
          <w:smallCaps w:val="false"/>
          <w:sz w:val="20"/>
        </w:rPr>
        <w:t xml:space="preserve"> Subject to the terms and conditions set forth herein, (A) the L/C Issuer agrees, in reliance upon the agreements of the Revolving Lenders set forth in this Section, (1) from time to time on any Business Day during the period from the Closing Date until the Letter of Credit Expiration Date, to issue Letters of Credit denominated in Dollars or in one or more Alternative Currencies for the account of any of the Borrowers or any of their Domestic Subsidiaries or, in the L/C Issuer’s sole and absolute discretion, any of their Foreign Subsidiaries, and to amend Letters of Credit previously issued by it, in accordance with Section 2.03(b), and (2) to honor drawings under the Letters of Credit; and (B) the Revolving Lenders severally agree to participate in Letters of Credit issued for the account of any Borrower or its Subsidiaries and any drawings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any L/C Credit Extension with respect to any Letter of Credit, (x) the Total Revolving Outstandings shall not exceed the Revolving Facility, (y) the Revolving Exposure of any Revolving Lender shall not exceed such Lender’s Revolving Commitment, and (z) the Outstanding Amount of the L/C Obligations shall not exceed the Letter of Credit Sublimit. Each request by any Borrower for the issuance or amendment of a Letter of Credit shall be deemed to be a representation by the Borrowers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deemed L/C Obligations, and from and after the Closing Date shall be subject to and governed by the terms and conditions hereof.</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IV </w:t>
      </w:r>
      <w:r>
        <w:rPr>
          <w:rFonts w:ascii="Times New Roman;Times;Serif" w:hAnsi="Times New Roman;Times;Serif"/>
          <w:b w:val="false"/>
          <w:i w:val="false"/>
          <w:caps w:val="false"/>
          <w:smallCaps w:val="false"/>
          <w:sz w:val="20"/>
        </w:rPr>
        <w:t>The L/C Issuer shall not issue any Letter of Credit if:</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283"/>
              <w:jc w:val="left"/>
              <w:rPr/>
            </w:pPr>
            <w:r>
              <w:rPr/>
              <w:t>subject to Section 2.03(b)(iv), the expiry date of the requested Letter of Credit would occur more than twelve (12) months after the date of issuance or last extension, unless the Required Lenders have approved such expiry date; or</w:t>
            </w:r>
          </w:p>
        </w:tc>
      </w:tr>
    </w:tbl>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b/>
              </w:rPr>
            </w:pPr>
            <w:r>
              <w:rPr>
                <w:b/>
              </w:rPr>
              <w:t>(B)</w:t>
            </w:r>
          </w:p>
        </w:tc>
        <w:tc>
          <w:tcPr>
            <w:tcW w:w="9898" w:type="dxa"/>
            <w:tcBorders/>
            <w:vAlign w:val="center"/>
          </w:tcPr>
          <w:p>
            <w:pPr>
              <w:pStyle w:val="TableContents"/>
              <w:bidi w:val="0"/>
              <w:spacing w:before="0" w:after="283"/>
              <w:jc w:val="left"/>
              <w:rPr/>
            </w:pPr>
            <w:r>
              <w:rPr/>
              <w:t>the expiry date of the requested Letter of Credit would occur after the Letter of Credit Expiration Date; provided, that if each of the L/C Issuer and the Administrative Agent consents thereto in its sole discretion, the expiration date of a Letter of Credit may extend beyond the Letter of Credit Expiration Date so long as (x) the applicable Borrower Cash Collateralizes such Letter of Credit on or prior to the Letter of Credit Expiration Date on terms satisfactory to the L/C Issuer and the Administrative Agent and (y) each Lender’s participation in any undrawn Letter of Credit that is outstanding on the Maturity Date shall terminate on the Maturity Date.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t xml:space="preserve"> The L/C Issuer shall not be under any obligation to issue any Letter of Credit if:</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left"/>
              <w:rPr/>
            </w:pPr>
            <w:r>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9848" w:type="dxa"/>
            <w:tcBorders/>
            <w:vAlign w:val="center"/>
          </w:tcPr>
          <w:p>
            <w:pPr>
              <w:pStyle w:val="TableContents"/>
              <w:bidi w:val="0"/>
              <w:spacing w:before="0" w:after="283"/>
              <w:jc w:val="left"/>
              <w:rPr/>
            </w:pPr>
            <w:r>
              <w:rPr/>
              <w:t>the issuance of the Letter of Credit would violate one or more policies of the L/C Issuer applicable to letters of credit generally;</w:t>
            </w:r>
          </w:p>
        </w:tc>
      </w:tr>
    </w:tbl>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(C)</w:t>
            </w:r>
          </w:p>
        </w:tc>
        <w:tc>
          <w:tcPr>
            <w:tcW w:w="9867" w:type="dxa"/>
            <w:tcBorders/>
            <w:vAlign w:val="center"/>
          </w:tcPr>
          <w:p>
            <w:pPr>
              <w:pStyle w:val="TableContents"/>
              <w:bidi w:val="0"/>
              <w:spacing w:before="0" w:after="283"/>
              <w:jc w:val="left"/>
              <w:rPr/>
            </w:pPr>
            <w:r>
              <w:rPr/>
              <w:t>except as otherwise agreed by the Administrative Agent and the L/C Issuer, the Letter of Credit is to be denominated in a currency other than Dollars or an Alternative Currency;</w:t>
            </w:r>
          </w:p>
        </w:tc>
      </w:tr>
    </w:tbl>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(D)</w:t>
            </w:r>
          </w:p>
        </w:tc>
        <w:tc>
          <w:tcPr>
            <w:tcW w:w="9883" w:type="dxa"/>
            <w:tcBorders/>
            <w:vAlign w:val="center"/>
          </w:tcPr>
          <w:p>
            <w:pPr>
              <w:pStyle w:val="TableContents"/>
              <w:bidi w:val="0"/>
              <w:spacing w:before="0" w:after="283"/>
              <w:jc w:val="left"/>
              <w:rPr/>
            </w:pPr>
            <w:r>
              <w:rPr/>
              <w:t>any Revolving Lender is at that time a Defaulting Lender, unless the L/C Issuer has entered into arrangements, including the delivery of Cash Collateral, satisfactory to the L/C Issuer (in its sole discretion) with the applicable Borrowers or such Revolving Lender to eliminate the L/C Issuer’s actual or potential Fronting Exposure (after giving effect to Section 2.15(a)(iv))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tc>
      </w:tr>
    </w:tbl>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b/>
                <w:color w:val="7030A0"/>
              </w:rPr>
            </w:pPr>
            <w:r>
              <w:rPr>
                <w:b/>
                <w:color w:val="7030A0"/>
              </w:rPr>
              <w:t>(E)</w:t>
            </w:r>
          </w:p>
        </w:tc>
        <w:tc>
          <w:tcPr>
            <w:tcW w:w="9849" w:type="dxa"/>
            <w:tcBorders/>
            <w:vAlign w:val="center"/>
          </w:tcPr>
          <w:p>
            <w:pPr>
              <w:pStyle w:val="TableContents"/>
              <w:bidi w:val="0"/>
              <w:spacing w:before="0" w:after="283"/>
              <w:jc w:val="left"/>
              <w:rPr/>
            </w:pPr>
            <w:r>
              <w:rPr/>
              <w:t>the L/C Issuer does not as of the issuance date of the requested Letter of Credit issue Letters of Credit in the requested currency.</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VI </w:t>
      </w:r>
      <w:r>
        <w:rPr>
          <w:rFonts w:ascii="Times New Roman;Times;Serif" w:hAnsi="Times New Roman;Times;Serif"/>
          <w:b w:val="false"/>
          <w:i w:val="false"/>
          <w:caps w:val="false"/>
          <w:smallCaps w:val="false"/>
          <w:sz w:val="20"/>
        </w:rPr>
        <w:t>The L/C Issuer shall not amend any Letter of Credit if the L/C Issuer would not be permitted at such time to issue the Letter of Credit in its amended form under the terms hereof.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VII</w:t>
      </w:r>
      <w:r>
        <w:rPr>
          <w:rFonts w:ascii="Times New Roman;Times;Serif" w:hAnsi="Times New Roman;Times;Serif"/>
          <w:b w:val="false"/>
          <w:i w:val="false"/>
          <w:caps w:val="false"/>
          <w:smallCaps w:val="false"/>
          <w:sz w:val="20"/>
        </w:rPr>
        <w:t xml:space="preserve"> 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the Letter of Credit.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val="false"/>
          <w:i w:val="false"/>
          <w:caps w:val="false"/>
          <w:smallCaps w:val="false"/>
          <w:sz w:val="20"/>
        </w:rPr>
        <w:t xml:space="preserve"> The L/C Issuer shall act on behalf of the Revolving Lenders with respect to any Letters of Credit issued by it and the documents associated therewith, and the L/C Issuer shall have all of the benefits and immunities (A) provided to the Administrative Agent in Article IX with respect to any acts taken or omissions suffered by the L/C Issuer in connection with Letters of Credit issued by it or proposed to be issued by it and Issuer Documents pertaining to such Letters of Credit as fully as if the term “Administrative Agent” as used in Article IX included the L/C Issuer with respect to such acts or omissions, and (B) as additionally provided herein with respect to the L/C Issuer.</w:t>
      </w:r>
    </w:p>
    <w:tbl>
      <w:tblPr>
        <w:tblW w:w="5000" w:type="pct"/>
        <w:jc w:val="left"/>
        <w:tblInd w:w="0" w:type="dxa"/>
        <w:tblLayout w:type="fixed"/>
        <w:tblCellMar>
          <w:top w:w="0" w:type="dxa"/>
          <w:left w:w="0" w:type="dxa"/>
          <w:bottom w:w="0" w:type="dxa"/>
          <w:right w:w="0" w:type="dxa"/>
        </w:tblCellMar>
      </w:tblPr>
      <w:tblGrid>
        <w:gridCol w:w="62"/>
        <w:gridCol w:w="456"/>
        <w:gridCol w:w="9687"/>
      </w:tblGrid>
      <w:tr>
        <w:trPr/>
        <w:tc>
          <w:tcPr>
            <w:tcW w:w="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pPr>
            <w:r>
              <w:rPr/>
              <w:t>(a)</w:t>
            </w:r>
          </w:p>
        </w:tc>
        <w:tc>
          <w:tcPr>
            <w:tcW w:w="9687" w:type="dxa"/>
            <w:tcBorders/>
            <w:vAlign w:val="center"/>
          </w:tcPr>
          <w:p>
            <w:pPr>
              <w:pStyle w:val="TableContents"/>
              <w:bidi w:val="0"/>
              <w:spacing w:before="0" w:after="283"/>
              <w:jc w:val="left"/>
              <w:rPr/>
            </w:pPr>
            <w:r>
              <w:rPr>
                <w:u w:val="single"/>
              </w:rPr>
              <w:t>Procedures for Issuance and Amendment of Letters of Credit</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val="false"/>
          <w:i w:val="false"/>
          <w:caps w:val="false"/>
          <w:smallCaps w:val="false"/>
          <w:sz w:val="20"/>
        </w:rPr>
        <w:t xml:space="preserve"> Each Letter of Credit shall be issued or amended, as the case may be, upon the request of any Borrower delivered to the L/C Issuer (with a copy to the Administrative Agent) in the form of a Letter of Credit Application, appropriately completed and signed by a Responsible Officer of the applicable Borrower. Such Letter of Credit Application may be sent by fax transmission,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(New York City time) at least five (5)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and in the absence of specification of currency such application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w:t>
      </w:r>
      <w:r>
        <w:rPr>
          <w:rFonts w:ascii="Times New Roman;Times;Serif" w:hAnsi="Times New Roman;Times;Serif"/>
          <w:b w:val="false"/>
          <w:i w:val="false"/>
          <w:caps w:val="false"/>
          <w:smallCaps w:val="false"/>
          <w:sz w:val="20"/>
        </w:rPr>
        <w:t xml:space="preserve"> Promptly after receipt of any Letter of Credit Application, the L/C Issuer will confirm with the Administrative Agent (by telephone or in writing) that the Administrative Agent has received a copy of such Letter of Credit Application from the applicable Borrower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not, the L/C Issuer will provide the Administrative Agent with a copy thereof. Unless the L/C Issuer has received written notice from any Revolving Lender, the Administrative Agent or any Loan Party, at least one (1) Business Day prior to the requested date of issuance or amendment of the applicable Letter of Credit, that one or more applicable conditions contained in Article IV shall not then be satisfied,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Revolving Lender shall be deemed to, and hereby irrevocably and unconditionally agrees to, purchase from the L/C Issuer a risk participation in such Letter of Credit in an amount equal to the product of such Revolving Lender’s Applicable Percentage times the amount of such Letter of Credit.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XI </w:t>
      </w:r>
      <w:r>
        <w:rPr>
          <w:rFonts w:ascii="Times New Roman;Times;Serif" w:hAnsi="Times New Roman;Times;Serif"/>
          <w:b w:val="false"/>
          <w:i w:val="false"/>
          <w:caps w:val="false"/>
          <w:smallCaps w:val="false"/>
          <w:sz w:val="20"/>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XII </w:t>
      </w:r>
      <w:r>
        <w:rPr>
          <w:rFonts w:ascii="Times New Roman;Times;Serif" w:hAnsi="Times New Roman;Times;Serif"/>
          <w:b w:val="false"/>
          <w:i w:val="false"/>
          <w:caps w:val="false"/>
          <w:smallCaps w:val="false"/>
          <w:sz w:val="20"/>
        </w:rPr>
        <w:t>If any Borrower so requests in any applicable Letter of Credit Application, the L/C Issuer may, in its sole discretion, agree to issue a standby Letter of Credit that has automatic extension provisions (each, an “</w:t>
      </w:r>
      <w:r>
        <w:rPr>
          <w:rFonts w:ascii="Times New Roman;Times;Serif" w:hAnsi="Times New Roman;Times;Serif"/>
          <w:b w:val="false"/>
          <w:i w:val="false"/>
          <w:caps w:val="false"/>
          <w:smallCaps w:val="false"/>
          <w:sz w:val="20"/>
          <w:u w:val="single"/>
        </w:rPr>
        <w:t>Auto-Extension Letter of Credit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Auto-Extension Letter of Credit must permit the L/C Issuer to prevent any such extension at least once in each twelve (12) month period (commencing with the date of issuance of such Letter of Credit) by giving prior notice to the beneficiary thereof not later than a day (the “</w:t>
      </w:r>
      <w:r>
        <w:rPr>
          <w:rFonts w:ascii="Times New Roman;Times;Serif" w:hAnsi="Times New Roman;Times;Serif"/>
          <w:b w:val="false"/>
          <w:i w:val="false"/>
          <w:caps w:val="false"/>
          <w:smallCaps w:val="false"/>
          <w:sz w:val="20"/>
          <w:u w:val="single"/>
        </w:rPr>
        <w:t>Non-Extension Notice Date</w:t>
      </w:r>
      <w:r>
        <w:rPr>
          <w:rFonts w:ascii="Times New Roman;Times;Serif" w:hAnsi="Times New Roman;Times;Serif"/>
          <w:b w:val="false"/>
          <w:i w:val="false"/>
          <w:caps w:val="false"/>
          <w:smallCaps w:val="false"/>
          <w:sz w:val="20"/>
        </w:rPr>
        <w:t xml:space="preserve">”) in each such twelve (12) month period to be agreed upon at the time such Letter of Credit is issued. Unless otherwise directed by the L/C Issuer, the Borrower shall not be required to make a specific request to the L/C Issuer for any such extension. Once an Auto-Extension Letter of Credit has been issued, the Revolving Lenders shall be deemed to have authorized (but may not require) the L/C Issuer to permit the extension of such Letter of Credit at any time to an expiry date not later than the Letter of Credit Expiration Date;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Section 2.03(a) or otherwise), or (B) it has received notice (which may be by telephone or in writing) on or before the day that is seven (7) Business Days before the Non-Extension Notice Date (1) from the Administrative Agent that the Required Lenders have elected not to permit such extension or (2) from the Administrative Agent, any Revolving Lender or the Borrower that one or more of the applicable conditions specified in Section 4.02 is not then satisfied, and in each such case directing the L/C Issuer not to permit such extension.</w:t>
      </w:r>
    </w:p>
    <w:tbl>
      <w:tblPr>
        <w:tblW w:w="5000" w:type="pct"/>
        <w:jc w:val="left"/>
        <w:tblInd w:w="0" w:type="dxa"/>
        <w:tblLayout w:type="fixed"/>
        <w:tblCellMar>
          <w:top w:w="0" w:type="dxa"/>
          <w:left w:w="0" w:type="dxa"/>
          <w:bottom w:w="0" w:type="dxa"/>
          <w:right w:w="0" w:type="dxa"/>
        </w:tblCellMar>
      </w:tblPr>
      <w:tblGrid>
        <w:gridCol w:w="65"/>
        <w:gridCol w:w="477"/>
        <w:gridCol w:w="9663"/>
      </w:tblGrid>
      <w:tr>
        <w:trPr/>
        <w:tc>
          <w:tcPr>
            <w:tcW w:w="6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pPr>
            <w:r>
              <w:rPr/>
              <w:t>(a)</w:t>
            </w:r>
          </w:p>
        </w:tc>
        <w:tc>
          <w:tcPr>
            <w:tcW w:w="9663" w:type="dxa"/>
            <w:tcBorders/>
            <w:vAlign w:val="center"/>
          </w:tcPr>
          <w:p>
            <w:pPr>
              <w:pStyle w:val="TableContents"/>
              <w:bidi w:val="0"/>
              <w:spacing w:before="0" w:after="283"/>
              <w:jc w:val="left"/>
              <w:rPr/>
            </w:pPr>
            <w:r>
              <w:rPr>
                <w:u w:val="single"/>
              </w:rPr>
              <w:t>Drawings and Reimbursements; Funding of Participations</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XIII </w:t>
      </w:r>
      <w:r>
        <w:rPr>
          <w:rFonts w:ascii="Times New Roman;Times;Serif" w:hAnsi="Times New Roman;Times;Serif"/>
          <w:b w:val="false"/>
          <w:i w:val="false"/>
          <w:caps w:val="false"/>
          <w:smallCaps w:val="false"/>
          <w:sz w:val="20"/>
        </w:rPr>
        <w:t>Upon receipt from the beneficiary of any Letter of Credit of any notice of a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in Dollars, or (B) in the absence of any such requirement for reimbursement in Dollars, the Borrowers shall have notified the L/C Issuer promptly following receipt of the notice of drawing that such Borrower will reimburse the L/C Issuer in Dollars. In the case of any such reimbursement in Dollars of a drawing under a Letter of Credit denominated in an Alternative Currency, the L/C Issuer shall notify the Borrowers of the Dollar Equivalent of the amount of the drawing promptly following the determination thereof. Not later than 11:00 a.m. (New York City time)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Times New Roman;Times;Serif" w:hAnsi="Times New Roman;Times;Serif"/>
          <w:b w:val="false"/>
          <w:i w:val="false"/>
          <w:caps w:val="false"/>
          <w:smallCaps w:val="false"/>
          <w:sz w:val="20"/>
          <w:u w:val="single"/>
        </w:rPr>
        <w:t>Honor Date</w:t>
      </w:r>
      <w:r>
        <w:rPr>
          <w:rFonts w:ascii="Times New Roman;Times;Serif" w:hAnsi="Times New Roman;Times;Serif"/>
          <w:b w:val="false"/>
          <w:i w:val="false"/>
          <w:caps w:val="false"/>
          <w:smallCaps w:val="false"/>
          <w:sz w:val="20"/>
        </w:rPr>
        <w:t>”), the applicable Borrower shall reimburse the L/C Issuer through the Administrative Agent in an amount equal to the amount of such drawing and in the applicable currency, if the Borrowers shall have received notice of such payment prior to 10:00 a.m. (New York City time) on the Honor Date or, if such notice has not been received by the Borrowers prior to such time on the Honor Date, then not later than 11:00 a.m. (New York City time) (x) on the Business Day that the Borrowers receive such notice, if such notice is received prior to 10:00 a.m. (New York City time) on the day of receipt or (y) the Business Day immediately following the day that the Borrowers receive such notice, if such notice is not received prior to such time on the day of receipt; provided that if a Borrower may, subject to the conditions to borrowing set forth herein, request in accordance with Section 2.02 or 2.04 that such payment be financed with a Borrowing of Revolving Loans or a Swingline Loan in an equal amount and, to the extent so financed, the applicable Borrower’s obligation to make such payment shall be discharged. In the event that (A) a drawing denominated in an Alternative Currency is to be reimbursed in Dollars pursuant to the second sentence of this Section 2.03(c)(i) and (B) the Dollar amount paid by the applicable Borrower, whether on or after the Honor Date, shall not be adequate on the date of that payment to purchase in accordance with normal banking procedures a sum denominated in the Alternative Currency equal to the drawing, the applicable Borrower agrees, as a separate and independent obligation, to indemnify the L/C Issuer for the loss resulting from its inability on that date to purchase the Alternative Currency in the full amount of the drawing. If the applicable Borrower fails to so reimburse the L/C Issuer by such time, the Administrative Agent shall promptly notify each Revolving Lender of the Honor Date, the amount of the unreimbursed drawing (expressed in Dollars in the amount of the Dollar Equivalent thereof in the case of a Letter of Credit denominated in an Alternative Currency) (the “</w:t>
      </w:r>
      <w:r>
        <w:rPr>
          <w:rFonts w:ascii="Times New Roman;Times;Serif" w:hAnsi="Times New Roman;Times;Serif"/>
          <w:b w:val="false"/>
          <w:i w:val="false"/>
          <w:caps w:val="false"/>
          <w:smallCaps w:val="false"/>
          <w:sz w:val="20"/>
          <w:u w:val="single"/>
        </w:rPr>
        <w:t>Unreimbursed Amount</w:t>
      </w:r>
      <w:r>
        <w:rPr>
          <w:rFonts w:ascii="Times New Roman;Times;Serif" w:hAnsi="Times New Roman;Times;Serif"/>
          <w:b w:val="false"/>
          <w:i w:val="false"/>
          <w:caps w:val="false"/>
          <w:smallCaps w:val="false"/>
          <w:sz w:val="20"/>
        </w:rPr>
        <w:t xml:space="preserve">”), and the amount of such Revolving Lender’s Applicable Percentage thereof. In such event, the applicable Borrower shall be deemed to have requested a Revolving Borrowing of Base Rate Loans to be disbursed on the Honor Date in an amount equal to the Unreimbursed Amount, without regard to the minimum and multiples specified in Section 2.02 for the principal amount of Base Rate Loans, but subject to the amount of the unutilized portion of the Revolving Commitments and the conditions set forth in Section 4.02 (other than the delivery of a Loan Notice). Any notice given by the L/C Issuer or the Administrative Agent pursuant to this Section 2.03(c)(i) may be given by telephone if immediately confirmed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lack of such an immediate confirmation shall not affect the conclusiveness or binding effect of such notice.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XIV </w:t>
      </w:r>
      <w:r>
        <w:rPr>
          <w:rFonts w:ascii="Times New Roman;Times;Serif" w:hAnsi="Times New Roman;Times;Serif"/>
          <w:b w:val="false"/>
          <w:i w:val="false"/>
          <w:caps w:val="false"/>
          <w:smallCaps w:val="false"/>
          <w:sz w:val="20"/>
        </w:rPr>
        <w:t>Each Revolving Lender shall upon receipt of any notice pursuant to Section 2.03(c)(i) make funds available (and the Administrative Agent may apply Cash Collateral provided for this purpose by the applicable Borrowers) for the account of the L/C Issuer, in Dollars, at the Administrative Agent’s Office for Dollar-denominated payments in an amount equal to its Applicable Percentage of the Unreimbursed Amount not later than 1:00 p.m.</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City time) on the Business Day specified in such notice by the Administrative Agent, whereupon, subject to the provisions of Section 2.03(c)(iii), each Revolving Lender that so makes funds available shall be deemed to have made a Base Rate Loan to the applicable Borrower in such amount. The Administrative Agent shall remit the funds so received to the L/C Issuer in Dollars.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XV</w:t>
      </w:r>
      <w:r>
        <w:rPr>
          <w:rFonts w:ascii="Times New Roman;Times;Serif" w:hAnsi="Times New Roman;Times;Serif"/>
          <w:b w:val="false"/>
          <w:i w:val="false"/>
          <w:caps w:val="false"/>
          <w:smallCaps w:val="false"/>
          <w:sz w:val="20"/>
        </w:rPr>
        <w:t xml:space="preserve"> With respect to any Unreimbursed Amount that is not fully refinanced by a Revolving Borrowing of Base Rate Loans because the conditions set forth in Section 4.02 cannot be satisfied or for any other reason, the applicable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L/C Issuer pursuant to Section 2.03(c)(ii) shall be deemed payment in respect of its participation in such L/C Borrowing and shall constitute an L/C Advance from such Lender in satisfaction of its participation obligation under this Section.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XVI </w:t>
      </w:r>
      <w:r>
        <w:rPr>
          <w:rFonts w:ascii="Times New Roman;Times;Serif" w:hAnsi="Times New Roman;Times;Serif"/>
          <w:b w:val="false"/>
          <w:i w:val="false"/>
          <w:caps w:val="false"/>
          <w:smallCaps w:val="false"/>
          <w:sz w:val="20"/>
        </w:rPr>
        <w:t>Until each Revolving Lender funds its Revolving Loan or L/C Advance pursuant to this Section 2.03(c) to reimburse the L/C Issuer for any amount drawn under any Letter of Credit, interest in respect of such Lender’s Applicable Percentage of such amount shall be solely for the account of the L/C Issuer.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XVII</w:t>
      </w:r>
      <w:r>
        <w:rPr>
          <w:rFonts w:ascii="Times New Roman;Times;Serif" w:hAnsi="Times New Roman;Times;Serif"/>
          <w:b w:val="false"/>
          <w:i w:val="false"/>
          <w:caps w:val="false"/>
          <w:smallCaps w:val="false"/>
          <w:sz w:val="20"/>
        </w:rPr>
        <w:t xml:space="preserve"> Each Revolving Lender’s obligation to make Revolving Loans or L/C Advances to reimburse the L/C Issuer for amounts drawn under Letters of Credit, as contemplated by this Section 2.03(c), shall be absolute and unconditional and shall not be affected by any circumstance, including (A) any setoff, counterclaim, recoupment, defense or other right which such Lender may have against the L/C Issuer, the Borrowers, any Subsidiary or any other Person for any reason whatsoever; (B) the occurrence or continuance of a Default; or (C) any other occurrence, event or condition, whether or not similar to any of the foregoing;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each Revolving Lender’s obligation to make Revolving Loans pursuant to this Section 2.03(c) is subject to the conditions set forth in Section 4.02 (other than delivery by the applicable Borrower of a Loan Notice). No such making of an L/C Advance shall relieve or otherwise impair the obligation of the applicable Borrower to reimburse the L/C Issuer for the amount of any payment made by the L/C Issuer under any Letter of Credit, together with interest as provided herein.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XVIII </w:t>
      </w:r>
      <w:r>
        <w:rPr>
          <w:rFonts w:ascii="Times New Roman;Times;Serif" w:hAnsi="Times New Roman;Times;Serif"/>
          <w:b w:val="false"/>
          <w:i w:val="false"/>
          <w:caps w:val="false"/>
          <w:smallCaps w:val="false"/>
          <w:sz w:val="20"/>
        </w:rPr>
        <w:t>If any Revolving Lender fails to make available to the Administrative Agent for the account of the L/C Issuer any amount required to be paid by such Lender pursuant to the foregoing provisions of this Section 2.03(c) by the time specified in Section 2.03(c)(ii),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submitted to any Revolving Lender (through the Administrative Agent) with respect to any amounts owing under this Section 2.03(c)(vi) shall be conclusive absent manifest error.</w:t>
      </w:r>
    </w:p>
    <w:tbl>
      <w:tblPr>
        <w:tblW w:w="5000" w:type="pct"/>
        <w:jc w:val="left"/>
        <w:tblInd w:w="0" w:type="dxa"/>
        <w:tblLayout w:type="fixed"/>
        <w:tblCellMar>
          <w:top w:w="0" w:type="dxa"/>
          <w:left w:w="0" w:type="dxa"/>
          <w:bottom w:w="0" w:type="dxa"/>
          <w:right w:w="0" w:type="dxa"/>
        </w:tblCellMar>
      </w:tblPr>
      <w:tblGrid>
        <w:gridCol w:w="125"/>
        <w:gridCol w:w="912"/>
        <w:gridCol w:w="9168"/>
      </w:tblGrid>
      <w:tr>
        <w:trPr/>
        <w:tc>
          <w:tcPr>
            <w:tcW w:w="12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pPr>
            <w:r>
              <w:rPr/>
              <w:t>(a)</w:t>
            </w:r>
          </w:p>
        </w:tc>
        <w:tc>
          <w:tcPr>
            <w:tcW w:w="9168" w:type="dxa"/>
            <w:tcBorders/>
            <w:vAlign w:val="center"/>
          </w:tcPr>
          <w:p>
            <w:pPr>
              <w:pStyle w:val="TableContents"/>
              <w:bidi w:val="0"/>
              <w:spacing w:before="0" w:after="283"/>
              <w:jc w:val="left"/>
              <w:rPr/>
            </w:pPr>
            <w:r>
              <w:rPr>
                <w:u w:val="single"/>
              </w:rPr>
              <w:t>Repayment of Participations</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XIX </w:t>
      </w:r>
      <w:r>
        <w:rPr>
          <w:rFonts w:ascii="Times New Roman;Times;Serif" w:hAnsi="Times New Roman;Times;Serif"/>
          <w:b w:val="false"/>
          <w:i w:val="false"/>
          <w:caps w:val="false"/>
          <w:smallCaps w:val="false"/>
          <w:sz w:val="20"/>
        </w:rPr>
        <w:t>At any time after the L/C Issuer has made a payment under any Letter of Credit and has received from any Revolving Lender such Lender’s L/C Advance in respect of such payment in accordance with Section 2.03(c), if the Administrative Agent receives for the account of the L/C Issuer any payment in respect of the related Unreimbursed Amount or interest thereon (whether directly from any Borrower or otherwise, including proceeds of Cash Collateral provided by the applicable Borrowers applied thereto by the Administrative Agent), the Administrative Agent will distribute to such Lender its Applicable Percentage thereof in Dollars and in the same funds as those received by the Administrative Agent.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 </w:t>
      </w:r>
      <w:r>
        <w:rPr>
          <w:rFonts w:ascii="Times New Roman;Times;Serif" w:hAnsi="Times New Roman;Times;Serif"/>
          <w:b w:val="false"/>
          <w:i w:val="false"/>
          <w:caps w:val="false"/>
          <w:smallCaps w:val="false"/>
          <w:sz w:val="20"/>
        </w:rPr>
        <w:t>If any payment received by the Administrative Agent for the account of the L/C Issuer pursuant to Section 2.03(c)(i) is required to be returned under any of the circumstances described in Section 11.05 (including pursuant to any settlement entered into by the L/C Issuer in its discretion), each Revolving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left"/>
              <w:rPr/>
            </w:pPr>
            <w:r>
              <w:rPr>
                <w:u w:val="single"/>
              </w:rPr>
              <w:t>Obligations Absolute</w:t>
            </w:r>
            <w:r>
              <w:rPr/>
              <w:t>. The obligation of each Borrower (and those Borrowers that are jointly and severally liable with such Borrower) to reimburse the L/C Issuer for each drawing under each Letter of Credit and to repay each L/C Borrowing for which it is liable hereunder shall be absolute, unconditional and irrevocable, and shall be paid strictly in accordance with the terms of this Agreement under all circumstances, including the following:</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XXI </w:t>
      </w:r>
      <w:r>
        <w:rPr>
          <w:rFonts w:ascii="Times New Roman;Times;Serif" w:hAnsi="Times New Roman;Times;Serif"/>
          <w:b w:val="false"/>
          <w:i w:val="false"/>
          <w:caps w:val="false"/>
          <w:smallCaps w:val="false"/>
          <w:sz w:val="20"/>
        </w:rPr>
        <w:t>any lack of validity or enforceability of such Letter of Credit, this Agreement, or any other Loan Document;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XXII</w:t>
      </w:r>
      <w:r>
        <w:rPr>
          <w:rFonts w:ascii="Times New Roman;Times;Serif" w:hAnsi="Times New Roman;Times;Serif"/>
          <w:b w:val="false"/>
          <w:i w:val="false"/>
          <w:caps w:val="false"/>
          <w:smallCaps w:val="false"/>
          <w:sz w:val="20"/>
        </w:rPr>
        <w:t xml:space="preserve"> the existence of any claim, counterclaim, setoff, defense or other right that any Borrower or any Subsidiary may have at any time against any beneficiary or any transferee of such Letter of Credit (or any Person for whom any such beneficiary or any such transferee may be acting), the L/C Issuer or any other Person, whether in connection with this Agreement or by such Letter of Credit, the transactions contemplated hereby or any agreement or instrument relating thereto, or any unrelated transaction;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XXIII </w:t>
      </w:r>
      <w:r>
        <w:rPr>
          <w:rFonts w:ascii="Times New Roman;Times;Serif" w:hAnsi="Times New Roman;Times;Serif"/>
          <w:b w:val="false"/>
          <w:i w:val="false"/>
          <w:caps w:val="false"/>
          <w:smallCaps w:val="false"/>
          <w:sz w:val="20"/>
        </w:rPr>
        <w:t>any draft, demand, endorsement, certificate or other document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XXIV</w:t>
      </w:r>
      <w:r>
        <w:rPr>
          <w:rFonts w:ascii="Times New Roman;Times;Serif" w:hAnsi="Times New Roman;Times;Serif"/>
          <w:b w:val="false"/>
          <w:i w:val="false"/>
          <w:caps w:val="false"/>
          <w:smallCaps w:val="false"/>
          <w:sz w:val="20"/>
        </w:rPr>
        <w:t xml:space="preserve"> waiver by the L/C Issuer of any requirement that exists for the L/C Issuer’s protection and not the protection of the Borrowers or any waiver by the L/C Issuer which does not in fact materially prejudice the Borrowers;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XXV </w:t>
      </w:r>
      <w:r>
        <w:rPr>
          <w:rFonts w:ascii="Times New Roman;Times;Serif" w:hAnsi="Times New Roman;Times;Serif"/>
          <w:b w:val="false"/>
          <w:i w:val="false"/>
          <w:caps w:val="false"/>
          <w:smallCaps w:val="false"/>
          <w:sz w:val="20"/>
        </w:rPr>
        <w:t>honor of a demand for payment presented electronically even if such Letter of Credit requires that demand be in the form of a draft;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XXVI </w:t>
      </w:r>
      <w:r>
        <w:rPr>
          <w:rFonts w:ascii="Times New Roman;Times;Serif" w:hAnsi="Times New Roman;Times;Serif"/>
          <w:b w:val="false"/>
          <w:i w:val="false"/>
          <w:caps w:val="false"/>
          <w:smallCaps w:val="false"/>
          <w:sz w:val="20"/>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XXVII </w:t>
      </w:r>
      <w:r>
        <w:rPr>
          <w:rFonts w:ascii="Times New Roman;Times;Serif" w:hAnsi="Times New Roman;Times;Serif"/>
          <w:b w:val="false"/>
          <w:i w:val="false"/>
          <w:caps w:val="false"/>
          <w:smallCaps w:val="false"/>
          <w:sz w:val="20"/>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XXVIII </w:t>
      </w:r>
      <w:r>
        <w:rPr>
          <w:rFonts w:ascii="Times New Roman;Times;Serif" w:hAnsi="Times New Roman;Times;Serif"/>
          <w:b w:val="false"/>
          <w:i w:val="false"/>
          <w:caps w:val="false"/>
          <w:smallCaps w:val="false"/>
          <w:sz w:val="20"/>
        </w:rPr>
        <w:t>any other circumstance or happening whatsoever, whether or not similar to any of the foregoing, including any other circumstance that might otherwise constitute a defense available to, or a discharge of, any Borrower or any of its Subsidiaries; or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XXIX</w:t>
      </w:r>
      <w:r>
        <w:rPr>
          <w:rFonts w:ascii="Times New Roman;Times;Serif" w:hAnsi="Times New Roman;Times;Serif"/>
          <w:b w:val="false"/>
          <w:i w:val="false"/>
          <w:caps w:val="false"/>
          <w:smallCaps w:val="false"/>
          <w:sz w:val="20"/>
        </w:rPr>
        <w:t xml:space="preserve"> any adverse change in the relevant exchange rates or in the availability of the relevant Alternative Currency to any Borrower or any of its Subsidiaries or in the relevant currency markets generally.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Borrower shall promptly examine a copy of each Letter of Credit and each amendment thereto that is delivered to it and, in the event of any claim of noncompliance with such Borrower’s instructions or other irregularity, such Borrower will immediately notify the L/C Issuer. Each Borrower shall be conclusively deemed to have waived any such claim against the L/C Issuer and its correspondents unless such notice is given as aforesaid.</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u w:val="single"/>
              </w:rPr>
              <w:t>Role of L/C Issuer</w:t>
            </w:r>
            <w:r>
              <w:rPr/>
              <w:t>. Each Lender and the Borrowers agree that, in paying any drawing under a Letter of Credit, the L/C Issuer shall not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Revolving Lenders or the Required Lenders, as applicable; (ii) any action taken or omitted in the absence of gross negligence or willful misconduct; or (iii) the due execution, effectiveness, validity or enforceability of any</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 or instrument related to any Letter of Credit or Issuer Document. Each Borrower hereby assumes all risks of the acts or omissions of any beneficiary or transferee with respect to its use of any Letter of Credit;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this assumption is not intended to, and shall not, preclude each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Section 2.03(e);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anything in such clauses to the contrary notwithstanding, each Borrower may have a claim against the L/C Issuer, and the L/C Issuer may be liable to each Borrower, to the extent, but only to the extent, of any direct, as opposed to consequential or exemplary, damages suffered by such Borrower which such Borrower proves, as determined by a final nonappealable judgment of a court of competent jurisdiction, were caused by the L/C Issuer’s willful misconduct or gross negligence or the L/C Issuer’s willful failure to pay under any Letter of Credit after the presentation to it by the beneficiary of a sight or time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Times;Serif" w:hAnsi="Times New Roman;Times;Serif"/>
          <w:b w:val="false"/>
          <w:i w:val="false"/>
          <w:caps w:val="false"/>
          <w:smallCaps w:val="false"/>
          <w:sz w:val="20"/>
          <w:u w:val="single"/>
        </w:rPr>
        <w:t>SWIFT</w:t>
      </w:r>
      <w:r>
        <w:rPr>
          <w:rFonts w:ascii="Times New Roman;Times;Serif" w:hAnsi="Times New Roman;Times;Serif"/>
          <w:b w:val="false"/>
          <w:i w:val="false"/>
          <w:caps w:val="false"/>
          <w:smallCaps w:val="false"/>
          <w:sz w:val="20"/>
        </w:rPr>
        <w:t>”) message or overnight courier, or any other commercially reasonable means of communicating with a beneficiary.</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left"/>
              <w:rPr/>
            </w:pPr>
            <w:r>
              <w:rPr>
                <w:u w:val="single"/>
              </w:rPr>
              <w:t>Applicability of ISP and UCP; Limitation of Liability</w:t>
            </w:r>
            <w:r>
              <w:rPr/>
              <w:t>. Unless otherwise expressly agreed by the L/C Issuer and the applicable Borrower when a Letter of Credit is issued, the rules of the ISP shall apply to each standby Letter of Credit. Notwithstanding the foregoing, the L/C Issuer shall not be responsible to the Borrowers for, and the L/C Issuer’s rights and remedies against the applicable Borrowers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Services Association (BAFT-IFSA), or the Institute of International Banking Law &amp; Practice, whether or not any Letter of Credit chooses such law or practice.</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left"/>
              <w:rPr/>
            </w:pPr>
            <w:r>
              <w:rPr>
                <w:u w:val="single"/>
              </w:rPr>
              <w:t>Letter of Credit Fees</w:t>
            </w:r>
            <w:r>
              <w:rPr/>
              <w:t>. The applicable Borrowers shall pay to the Administrative Agent for the account of each Revolving Lender in accordance, subject to Section 2.15, with its Applicable Percentage a Letter of Credit fee (the “</w:t>
            </w:r>
            <w:r>
              <w:rPr>
                <w:u w:val="single"/>
              </w:rPr>
              <w:t>Letter of Credit Fee</w:t>
            </w:r>
            <w:r>
              <w:rPr/>
              <w:t>”) for each Letter of Credit issued to it or any of its Subsidiaries equal to the Applicable Rate times the Dollar Equivalent of the daily amount available to be drawn under such Letter of Credit. Letter of Credit Fees shall be (1) due and payable on the first Business Day following each fiscal quarter end, commencing with the first such date to occur after the issuance of such Letter of Credit on the Letter of Credit Expiration Date and thereafter on demand and (2)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left"/>
              <w:rPr/>
            </w:pPr>
            <w:r>
              <w:rPr>
                <w:u w:val="single"/>
              </w:rPr>
              <w:t>Fronting Fee and Documentary and Processing Charges Payable to L/C Issuer</w:t>
            </w:r>
            <w:r>
              <w:rPr/>
              <w:t>. The applicable Borrowers shall pay directly to the L/C Issuer for its own account a fronting fee with respect to each Letter of Credit issued to it or any of its Subsidiaries, at the rate per annum specified in the Fee Letter, computed on the Dollar Equivalent of the daily amount available to be drawn under such Letter of Credit on a quarterly basis in arrears. Such fronting fee shall be due and payable on or prior to the date that is ten (10) Business Days following each fiscal quarter end,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Section 1.06. In addition, the applicable Borrowers shall pay directly to the L/C Issuer for its own account, in Dollars, with respect to each Letter of Credit issued to it or any of its Subsidiaries,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tc>
      </w:tr>
    </w:tbl>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(e)</w:t>
            </w:r>
          </w:p>
        </w:tc>
        <w:tc>
          <w:tcPr>
            <w:tcW w:w="9920" w:type="dxa"/>
            <w:tcBorders/>
            <w:vAlign w:val="center"/>
          </w:tcPr>
          <w:p>
            <w:pPr>
              <w:pStyle w:val="TableContents"/>
              <w:bidi w:val="0"/>
              <w:spacing w:before="0" w:after="283"/>
              <w:jc w:val="left"/>
              <w:rPr/>
            </w:pPr>
            <w:r>
              <w:rPr>
                <w:u w:val="single"/>
              </w:rPr>
              <w:t>Conflict with Issuer Documents</w:t>
            </w:r>
            <w:r>
              <w:rPr/>
              <w:t>. In the event of any conflict between the terms hereof and the terms of any Issuer Document, the terms hereof shall control.</w:t>
            </w:r>
          </w:p>
        </w:tc>
      </w:tr>
    </w:tbl>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(f)</w:t>
            </w:r>
          </w:p>
        </w:tc>
        <w:tc>
          <w:tcPr>
            <w:tcW w:w="9966" w:type="dxa"/>
            <w:tcBorders/>
            <w:vAlign w:val="center"/>
          </w:tcPr>
          <w:p>
            <w:pPr>
              <w:pStyle w:val="TableContents"/>
              <w:bidi w:val="0"/>
              <w:spacing w:before="0" w:after="283"/>
              <w:jc w:val="left"/>
              <w:rPr/>
            </w:pPr>
            <w:r>
              <w:rPr>
                <w:u w:val="single"/>
              </w:rPr>
              <w:t>Letters of Credit Issued for Subsidiaries</w:t>
            </w:r>
            <w:r>
              <w:rPr/>
              <w:t>. Notwithstanding that a Letter of Credit issued or outstanding hereunder is in support of any obligations of, or is for the account of, a Subsidiary of a Borrower, such Borrower shall</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obligated to reimburse the L/C Issuer hereunder for any and all drawings under any such Letter of Credit issued to its Subsidiary. Each Borrower hereby acknowledges that the issuance of Letters of Credit for the account of its Subsidiaries inures to the benefit of such Borrower, and that such Borrower’s business derives substantial benefits from the businesses of all of its Subsidiaries.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29.02      </w:t>
      </w:r>
      <w:r>
        <w:rPr>
          <w:rFonts w:ascii="Times New Roman;Times;Serif" w:hAnsi="Times New Roman;Times;Serif"/>
          <w:b/>
          <w:i w:val="false"/>
          <w:caps w:val="false"/>
          <w:smallCaps w:val="false"/>
          <w:sz w:val="20"/>
          <w:u w:val="single"/>
        </w:rPr>
        <w:t>Swingline Loans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left"/>
              <w:rPr/>
            </w:pPr>
            <w:r>
              <w:rPr>
                <w:u w:val="single"/>
              </w:rPr>
              <w:t>The Swingline</w:t>
            </w:r>
            <w:r>
              <w:rPr/>
              <w:t>. Subject to the terms and conditions set forth herein, the Swingline Lender, in reliance upon the agreements of the other Lenders set forth in this Section, may in its sole discretion make loans to the Domestic Borrowers (each such loan, a “</w:t>
            </w:r>
            <w:r>
              <w:rPr>
                <w:u w:val="single"/>
              </w:rPr>
              <w:t>Swingline Loan</w:t>
            </w:r>
            <w:r>
              <w:rPr/>
              <w:t xml:space="preserve">”). Each such Swingline Loan may be made, subject to the terms and conditions set forth herein, to each of the Domestic Borrowers, in Dollars, from time to time on any Business Day. During the Availability Period in an aggregate amount not to exceed at any time outstanding the amount of the Swingline Sublimit, notwithstanding the fact that such Swingline Loans, when aggregated with the Applicable Percentage of the Outstanding Amount of Revolving Loans and L/C Obligations of the Lender acting as Swingline Lender, may exceed the amount of such Lender’s Revolving Commitment; </w:t>
            </w:r>
            <w:r>
              <w:rPr>
                <w:u w:val="single"/>
              </w:rPr>
              <w:t>provided</w:t>
            </w:r>
            <w:r>
              <w:rPr/>
              <w:t xml:space="preserve">, </w:t>
            </w:r>
            <w:r>
              <w:rPr>
                <w:u w:val="single"/>
              </w:rPr>
              <w:t>however</w:t>
            </w:r>
            <w:r>
              <w:rPr/>
              <w:t>, that (i) after giving effect to any Swingline Loan, (A) the Total Revolving Outstandings shall not exceed the Revolving Facility at such time, and (B) the Revolving Exposure of any Revolving Lender at such time shall not exceed such Lender’s Revolving Commitment, (ii) the Domestic Borrowers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Domestic Borrowers may borrow under this Section, prepay under Section 2.05, and reborrow under this Section. Each Swingline Loan shall bear interest only at a rate based on the Base Rate plus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tc>
      </w:tr>
    </w:tbl>
    <w:tbl>
      <w:tblPr>
        <w:tblW w:w="5000" w:type="pct"/>
        <w:jc w:val="left"/>
        <w:tblInd w:w="0" w:type="dxa"/>
        <w:tblLayout w:type="fixed"/>
        <w:tblCellMar>
          <w:top w:w="0" w:type="dxa"/>
          <w:left w:w="0" w:type="dxa"/>
          <w:bottom w:w="0" w:type="dxa"/>
          <w:right w:w="0" w:type="dxa"/>
        </w:tblCellMar>
      </w:tblPr>
      <w:tblGrid>
        <w:gridCol w:w="150"/>
        <w:gridCol w:w="1153"/>
        <w:gridCol w:w="8902"/>
      </w:tblGrid>
      <w:tr>
        <w:trPr/>
        <w:tc>
          <w:tcPr>
            <w:tcW w:w="15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u w:val="single"/>
              </w:rPr>
              <w:t>Borrowing Procedures</w:t>
            </w:r>
            <w:r>
              <w:rPr/>
              <w:t>.</w:t>
            </w:r>
          </w:p>
        </w:tc>
      </w:tr>
    </w:tbl>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Swingline Borrowing shall be made upon the applicable Domestic Borrower’s irrevocable notice to the Swingline Lender and the Administrative Agent, which may be given by: (A) telephone or (B) a Swingline Loan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telephonic notice must be confirmed immediately by delivery to the Swingline Lender and the Administrative Agent of a Swingline Loan Notice.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Swingline Loan Notice must be received by the Swingline Lender and the Administrative Agent not later than 1:00 p.m. (New York City time) on the requested borrowing date, and shall specify (i) the amount to be borrowed, which shall be a minimum of $100,000, and (ii)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(New York City time) on the date of the proposed Swingline Borrowing (A) directing the Swingline Lender not to make such Swingline Loan as a result of the limitations set forth in the first proviso to the first sentence of Section 2.04(a), or (B) that one or more of the applicable conditions specified in Article IV is not then satisfied, then, subject to the terms and conditions hereof, the Swingline Lender will, not later than 3:00 p.m. (New York City time) on the borrowing date specified in such Swingline Loan Notice, make the amount of its Swingline Loan available to the applicable Domestic Borrower at its office by crediting the account of such Domestic Borrower on the books of the Swingline Lender in immediately available funds</w:t>
      </w:r>
      <w:r>
        <w:rPr>
          <w:rFonts w:ascii="Times New Roman;Times;Serif" w:hAnsi="Times New Roman;Times;Serif"/>
          <w:b/>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111"/>
        <w:gridCol w:w="805"/>
        <w:gridCol w:w="9289"/>
      </w:tblGrid>
      <w:tr>
        <w:trPr/>
        <w:tc>
          <w:tcPr>
            <w:tcW w:w="1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(c)</w:t>
            </w:r>
          </w:p>
        </w:tc>
        <w:tc>
          <w:tcPr>
            <w:tcW w:w="9289" w:type="dxa"/>
            <w:tcBorders/>
            <w:vAlign w:val="center"/>
          </w:tcPr>
          <w:p>
            <w:pPr>
              <w:pStyle w:val="TableContents"/>
              <w:bidi w:val="0"/>
              <w:spacing w:before="0" w:after="283"/>
              <w:jc w:val="left"/>
              <w:rPr/>
            </w:pPr>
            <w:r>
              <w:rPr>
                <w:u w:val="single"/>
              </w:rPr>
              <w:t>Refinancing of Swingline Loans</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XXX</w:t>
      </w:r>
      <w:r>
        <w:rPr>
          <w:rFonts w:ascii="Times New Roman;Times;Serif" w:hAnsi="Times New Roman;Times;Serif"/>
          <w:b w:val="false"/>
          <w:i w:val="false"/>
          <w:caps w:val="false"/>
          <w:smallCaps w:val="false"/>
          <w:sz w:val="20"/>
        </w:rPr>
        <w:t xml:space="preserve"> The Swingline Lender at any time in its sole discretion may request, on behalf of the Domestic Borrowers (which hereby irrevocably authorizes the Swingline Lender to so request on its behalf), that each Revolving Lender make a Base Rate Loan in an amount equal to such Lender’s Applicable Percentage of the amount of Swingline Loans then outstanding. Such request shall be made in writing (which written request shall be deemed to be a Loan Notice for purposes hereof) and in accordance with the requirements of Section 2.02, without regard to the minimum and multiples specified therein for the principal amount of Base Rate Loans, but subject to the unutilized portion of the Revolving Facility and the conditions set forth in Section 4.02. The Swingline Lender shall furnish the Domestic Borrowers with a copy of the applicable Loan Notice promptly after delivering such notice to the Administrative Agent. Each Revolving Lender shall make an amount equal to its Applicable Percentage of the amount specified in such Loan Notice available to the Administrative Agent in immediately available funds (and the Administrative Agent may apply Cash Collateral provided by the Domestic Borrowers available with respect to the applicable Swingline Loan) for the account of the Swingline Lender at the Administrative Agent’s Office not later than 1:00 p.m. (New York City time) on the day specified in such Loan Notice, whereupon, subject to Section 2.04(c)(ii), each Revolving Lender that so makes funds available shall be deemed to have made a Base Rate Loan to the Domestic Borrowers in such amount. The Administrative Agent shall remit the funds so received to the Swingline Lender.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XXXI</w:t>
      </w:r>
      <w:r>
        <w:rPr>
          <w:rFonts w:ascii="Times New Roman;Times;Serif" w:hAnsi="Times New Roman;Times;Serif"/>
          <w:b w:val="false"/>
          <w:i w:val="false"/>
          <w:caps w:val="false"/>
          <w:smallCaps w:val="false"/>
          <w:sz w:val="20"/>
        </w:rPr>
        <w:t xml:space="preserve"> If for any reason any Swingline Loan cannot be refinanced by such a Revolving Borrowing in accordance with Section 2.04(c)(i),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Section 2.04(c)(i) shall be deemed payment in respect of such participation.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XXXII</w:t>
      </w:r>
      <w:r>
        <w:rPr>
          <w:rFonts w:ascii="Times New Roman;Times;Serif" w:hAnsi="Times New Roman;Times;Serif"/>
          <w:b w:val="false"/>
          <w:i w:val="false"/>
          <w:caps w:val="false"/>
          <w:smallCaps w:val="false"/>
          <w:sz w:val="20"/>
        </w:rPr>
        <w:t xml:space="preserve"> If any Revolving Lender fails to make available to the Administrative Agent for the account of the Swingline Lender any amount required to be paid by such Lender pursuant to the foregoing provisions of this Section 2.04(c) by the time specified in Section 2.04(c)(i),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clause (iii) shall be conclusive absent manifest error.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XXXIII</w:t>
      </w:r>
      <w:r>
        <w:rPr>
          <w:rFonts w:ascii="Times New Roman;Times;Serif" w:hAnsi="Times New Roman;Times;Serif"/>
          <w:b w:val="false"/>
          <w:i w:val="false"/>
          <w:caps w:val="false"/>
          <w:smallCaps w:val="false"/>
          <w:sz w:val="20"/>
        </w:rPr>
        <w:t xml:space="preserve"> Each Revolving Lender’s obligation to make Revolving Loans or to purchase and fund risk participations in Swingline Loans pursuant to this Section 2.04(c) shall be absolute and unconditional and shall not be affected by any circumstance, including (A) any setoff, counterclaim, recoupment, defense or other right which such Lender may have against the Swingline Lender, the Domestic Borrowers or any other Person for any reason whatsoever, (B) the occurrence or continuance of a Default or (C) any other occurrence, event or condition, whether or not similar to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each Revolving Lender’s obligation to make Revolving Loans pursuant to this Section 2.04(c) is subject to the conditions set forth in Section 4.02 (other than delivery by the applicable Domestic Borrower of a Loan Notice). No such funding of risk participations shall relieve or otherwise impair the obligation of the Domestic Borrowers to repay Swingline Loans, together with interest as provided herein.</w:t>
      </w:r>
    </w:p>
    <w:tbl>
      <w:tblPr>
        <w:tblW w:w="5000" w:type="pct"/>
        <w:jc w:val="left"/>
        <w:tblInd w:w="0" w:type="dxa"/>
        <w:tblLayout w:type="fixed"/>
        <w:tblCellMar>
          <w:top w:w="0" w:type="dxa"/>
          <w:left w:w="0" w:type="dxa"/>
          <w:bottom w:w="0" w:type="dxa"/>
          <w:right w:w="0" w:type="dxa"/>
        </w:tblCellMar>
      </w:tblPr>
      <w:tblGrid>
        <w:gridCol w:w="125"/>
        <w:gridCol w:w="912"/>
        <w:gridCol w:w="9168"/>
      </w:tblGrid>
      <w:tr>
        <w:trPr/>
        <w:tc>
          <w:tcPr>
            <w:tcW w:w="12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pPr>
            <w:r>
              <w:rPr/>
              <w:t>(a)</w:t>
            </w:r>
          </w:p>
        </w:tc>
        <w:tc>
          <w:tcPr>
            <w:tcW w:w="9168" w:type="dxa"/>
            <w:tcBorders/>
            <w:vAlign w:val="center"/>
          </w:tcPr>
          <w:p>
            <w:pPr>
              <w:pStyle w:val="TableContents"/>
              <w:bidi w:val="0"/>
              <w:spacing w:before="0" w:after="283"/>
              <w:jc w:val="left"/>
              <w:rPr/>
            </w:pPr>
            <w:r>
              <w:rPr>
                <w:u w:val="single"/>
              </w:rPr>
              <w:t>Repayment of Participations</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XXXIV </w:t>
      </w:r>
      <w:r>
        <w:rPr>
          <w:rFonts w:ascii="Times New Roman;Times;Serif" w:hAnsi="Times New Roman;Times;Serif"/>
          <w:b w:val="false"/>
          <w:i w:val="false"/>
          <w:caps w:val="false"/>
          <w:smallCaps w:val="false"/>
          <w:sz w:val="20"/>
        </w:rPr>
        <w:t>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XXXV</w:t>
      </w:r>
      <w:r>
        <w:rPr>
          <w:rFonts w:ascii="Times New Roman;Times;Serif" w:hAnsi="Times New Roman;Times;Serif"/>
          <w:b w:val="false"/>
          <w:i w:val="false"/>
          <w:caps w:val="false"/>
          <w:smallCaps w:val="false"/>
          <w:sz w:val="20"/>
        </w:rPr>
        <w:t xml:space="preserve"> If any payment received by the Swingline Lender in respect of principal or interest on any Swingline Loan is required to be returned by the Swingline Lender under any of the circumstances described in Section 11.05 (including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283"/>
              <w:jc w:val="left"/>
              <w:rPr/>
            </w:pPr>
            <w:r>
              <w:rPr>
                <w:u w:val="single"/>
              </w:rPr>
              <w:t>Interest for Account of Swingline Lender</w:t>
            </w:r>
            <w:r>
              <w:rPr/>
              <w:t>. The Swingline Lender shall be responsible for invoicing the Domestic Borrowers for interest on the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Swingline Loans. Until each Revolving Lender funds its Base Rate Loan or risk participation pursuant to this Section to refinance such Revolving Lender’s Applicable Percentage of any Swingline Loan, interest in respect of such Applicable Percentage shall be solely for the account of the Swingline Lender.</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left"/>
              <w:rPr/>
            </w:pPr>
            <w:r>
              <w:rPr>
                <w:u w:val="single"/>
              </w:rPr>
              <w:t>Payments Directly to Swingline Lender</w:t>
            </w:r>
            <w:r>
              <w:rPr/>
              <w:t>. The Borrowers shall make all payments of principal and interest in respect of the Swingline Loans directly to the Swingline Lender.</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35.02      </w:t>
      </w:r>
      <w:r>
        <w:rPr>
          <w:rFonts w:ascii="Times New Roman;Times;Serif" w:hAnsi="Times New Roman;Times;Serif"/>
          <w:b/>
          <w:i w:val="false"/>
          <w:caps w:val="false"/>
          <w:smallCaps w:val="false"/>
          <w:sz w:val="20"/>
          <w:u w:val="single"/>
        </w:rPr>
        <w:t>Prepayments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14"/>
        <w:gridCol w:w="2276"/>
        <w:gridCol w:w="7615"/>
      </w:tblGrid>
      <w:tr>
        <w:trPr/>
        <w:tc>
          <w:tcPr>
            <w:tcW w:w="314"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pPr>
            <w:r>
              <w:rPr/>
              <w:t>(a)</w:t>
            </w:r>
          </w:p>
        </w:tc>
        <w:tc>
          <w:tcPr>
            <w:tcW w:w="7615" w:type="dxa"/>
            <w:tcBorders/>
            <w:vAlign w:val="center"/>
          </w:tcPr>
          <w:p>
            <w:pPr>
              <w:pStyle w:val="TableContents"/>
              <w:bidi w:val="0"/>
              <w:spacing w:before="0" w:after="283"/>
              <w:jc w:val="left"/>
              <w:rPr/>
            </w:pPr>
            <w:r>
              <w:rPr>
                <w:u w:val="single"/>
              </w:rPr>
              <w:t>Optional</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XXXVI </w:t>
      </w:r>
      <w:r>
        <w:rPr>
          <w:rFonts w:ascii="Times New Roman;Times;Serif" w:hAnsi="Times New Roman;Times;Serif"/>
          <w:b w:val="false"/>
          <w:i w:val="false"/>
          <w:caps w:val="false"/>
          <w:smallCaps w:val="false"/>
          <w:sz w:val="20"/>
        </w:rPr>
        <w:t xml:space="preserve">Any Borrower may, upon notice to the Administrative Agent pursuant to delivery to the Administrative Agent of a Notice of Loan Prepayment, at any time or from time to time voluntarily prepay Revolving Loans in whole or in part without premium or penalty subject to Section 3.05;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agreed by the Administrative Agent, (A) such notice must be received by the Administrative Agent not later than 11:00 a.m. (New York City time), (1) three (3) Business Days prior to any date of prepayment of Term SOFR Loans, (2) four (4) Business Days (or five (5), in the case of prepayment of Loans denominated in Special Notice Currencies) prior to any date of prepayment of Alternative Currency Loans, and (3) on the date of prepayment of Base Rate Loans; (B) any prepayment of Term SOFR Loans shall be in a principal amount of $1,000,000 or a whole multiple of $1,000,000 in excess thereof; (C) any prepayment of Alternative Currency Loans shall be in a minimum principal amount of the Dollar Equivalent of $1,000,000 or a whole multiple of the Dollar Equivalent of $1,000,000 in excess thereof; and (D) any prepayment of Base Rate Loans shall be in a principal amount of $500,000 or a whole multiple of $100,000 in excess thereof or, in each case, if less, the entire principal amount thereof then outstanding. Each such notice shall specify the date, the currency and amount of such prepayment and the Type(s) of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a Borrower, the applicable Borrowers shall make such prepayment and the payment amount specified in such notice shall be due and payable on the date specified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Revolving Commitments as contemplated by Section 2.06, then such notice of prepayment may be revoked by written notice if such notice of termination is revoked in accordance with Section 2.06. Any prepayment of principal shall be accompanied by all accrued interest on the amount prepaid, together with any additional amounts required pursuant to Section 3.05. Subject to Section 2.15, such prepayments shall be paid to the Lenders in accordance with their respective Applicable Percentages.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XXXVII </w:t>
      </w:r>
      <w:r>
        <w:rPr>
          <w:rFonts w:ascii="Times New Roman;Times;Serif" w:hAnsi="Times New Roman;Times;Serif"/>
          <w:b w:val="false"/>
          <w:i w:val="false"/>
          <w:caps w:val="false"/>
          <w:smallCaps w:val="false"/>
          <w:sz w:val="20"/>
        </w:rPr>
        <w:t xml:space="preserve">The Domestic Borrowers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agreed by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Swingline Lender, (A) such notice must be received by the Swingline Lender and the Administrative Agent not later than 1:00 p.m. (New York City time)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a Domestic Borrower, the Domestic Borrowers shall make such prepayment and the payment amount specified in such notice shall be due and payable on the date specified therein. Any prepayment of principal shall be accompanied by all accrued interest on the amount prepaid, together with any additional amounts required pursuant to Section 3.05.</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left"/>
              <w:rPr/>
            </w:pPr>
            <w:r>
              <w:rPr>
                <w:u w:val="single"/>
              </w:rPr>
              <w:t>Mandatory; Revolving Outstandings</w:t>
            </w:r>
            <w:r>
              <w:rPr/>
              <w:t xml:space="preserve">. If for any reason the Total Revolving Outstandings at any time exceed the Revolving Facility at such time, the applicable Borrowers shall immediately prepay Revolving Loans, Swingline Loans and L/C Borrowings (together with all accrued but unpaid interest thereon) and/or Cash Collateralize the L/C Obligations, in each case, for which they are jointly and several liable, in an aggregate amount equal to such excess; </w:t>
            </w:r>
            <w:r>
              <w:rPr>
                <w:u w:val="single"/>
              </w:rPr>
              <w:t>provided, however</w:t>
            </w:r>
            <w:r>
              <w:rPr/>
              <w:t>, that the applicable Borrowers shall not be required to Cash Collateralize the L/C Obligations pursuant to this Section 2.05(b) unless, after the prepayment of the Revolving Loans and Swingline Loans, the Total Revolving Outstandings exceed the Revolving Facility at such time.</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parameters of the applications set forth above, prepayments pursuant to this Section 2.05(b) shall be applied first to Base Rate Loans and Alternative Currency Daily Rate Loans on a pro rata basis and then to Term SOFR Loans and Alternative Currency Term Rate Loans in direct order of Interest Period maturities. All prepayments under this Section 2.05(b) shall be subject to Section 3.05, but otherwise without premium or penalty, and shall be accompanied by interest on the principal amount prepaid through the date of prepayment.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37.02      </w:t>
      </w:r>
      <w:r>
        <w:rPr>
          <w:rFonts w:ascii="Times New Roman;Times;Serif" w:hAnsi="Times New Roman;Times;Serif"/>
          <w:b/>
          <w:i w:val="false"/>
          <w:caps w:val="false"/>
          <w:smallCaps w:val="false"/>
          <w:sz w:val="20"/>
          <w:u w:val="single"/>
        </w:rPr>
        <w:t>Termination or Reduction of Commitments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u w:val="single"/>
              </w:rPr>
              <w:t>Optional</w:t>
            </w:r>
            <w:r>
              <w:rPr/>
              <w:t xml:space="preserve">. The Borrowers may, upon notice to the Administrative Agent, terminate the Revolving Facility, the Letter of Credit Sublimit or the Swingline Sublimit, or from time to time permanently reduce the Revolving Facility, the Letter of Credit Sublimit or the Swingline Sublimit; </w:t>
            </w:r>
            <w:r>
              <w:rPr>
                <w:u w:val="single"/>
              </w:rPr>
              <w:t>provided</w:t>
            </w:r>
            <w:r>
              <w:rPr/>
              <w:t xml:space="preserve"> that (i) any such notice shall be received by the Administrative Agent not later than 11:00 a.m. (New York City time) three (3) Business Days prior to the date of termination or reduction, (ii) any such partial reduction shall be in an aggregate amount of $10,000,000 or any whole multiple of $1,000,000 in excess thereof and (iii) the Borrowers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prepayments hereunder, the Outstanding Amount of Swingline Loans would exceed the Swingline Sublimit;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 notice of termination of the Revolving Commitments delivered pursuant to this Section 2.06(a) may state that such notice is conditioned upon the effectiveness of other debt facilities or the consummation of other transactions, in which case such notice may be revoked by the Borrowers by written notice to the Administrative Agent at least one Business Day prior to the specified effective date if such condition is not satisfied.</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left"/>
              <w:rPr/>
            </w:pPr>
            <w:r>
              <w:rPr>
                <w:u w:val="single"/>
              </w:rPr>
              <w:t>Mandatory</w:t>
            </w:r>
            <w:r>
              <w:rPr/>
              <w:t>. If after giving effect to any reduction or termination of Revolving Commitments under this Section 2.06, the Letter of Credit Sublimit, the Foreign Borrower Sublimit or the Swingline Sublimit exceeds the Revolving Facility at such time, the Letter of Credit Sublimit, Foreign Borrower Sublimit or the Swingline Sublimit, as the case may be, shall be automatically reduced by the amount of such excess.</w:t>
            </w:r>
          </w:p>
        </w:tc>
      </w:tr>
    </w:tbl>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left"/>
              <w:rPr/>
            </w:pPr>
            <w:r>
              <w:rPr>
                <w:u w:val="single"/>
              </w:rPr>
              <w:t>Application of Commitment Reductions; Payment of Fees</w:t>
            </w:r>
            <w:r>
              <w:rPr/>
              <w:t>. The Administrative Agent will promptly notify the Lenders of any termination or reduction of the Letter of Credit Sublimit, Foreign Borrower Sublimit, Swingline Sublimit or the Revolving Commitment under this Section 2.06. Upon any reduction of the Revolving Commitments, the Revolving Commitment of each Revolving Lender shall be reduced by such Lender’s Applicable Percentage of such reduction amount. All fees in respect of the Revolving Facility accrued until the effective date of any termination of the Revolving Facility shall be paid on the effective date of such termination.</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37.03      </w:t>
      </w:r>
      <w:r>
        <w:rPr>
          <w:rFonts w:ascii="Times New Roman;Times;Serif" w:hAnsi="Times New Roman;Times;Serif"/>
          <w:b/>
          <w:i w:val="false"/>
          <w:caps w:val="false"/>
          <w:smallCaps w:val="false"/>
          <w:sz w:val="20"/>
          <w:u w:val="single"/>
        </w:rPr>
        <w:t>Repayment of Loans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left"/>
              <w:rPr/>
            </w:pPr>
            <w:r>
              <w:rPr/>
              <w:t>Revolving Loans. Each Borrower shall repay to the Revolving Lenders on the Maturity Date the aggregate principal amount of all Revolving Loans outstanding on such date for which it is jointly and severally liable.</w:t>
            </w:r>
          </w:p>
        </w:tc>
      </w:tr>
    </w:tbl>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left"/>
              <w:rPr/>
            </w:pPr>
            <w:r>
              <w:rPr/>
              <w:t>Swingline Loans. The Domestic Borrowers shall repay each Swingline Loan on the earlier to occur of (i) the date ten (10) Business Days after such Loan is made and (ii) the Maturity Date.</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37.04      </w:t>
      </w:r>
      <w:r>
        <w:rPr>
          <w:rFonts w:ascii="Times New Roman;Times;Serif" w:hAnsi="Times New Roman;Times;Serif"/>
          <w:b/>
          <w:i w:val="false"/>
          <w:caps w:val="false"/>
          <w:smallCaps w:val="false"/>
          <w:sz w:val="20"/>
          <w:u w:val="single"/>
        </w:rPr>
        <w:t>Interest and Default Rate</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u w:val="single"/>
              </w:rPr>
              <w:t>Interest</w:t>
            </w:r>
            <w:r>
              <w:rPr/>
              <w:t>. Subject to the provisions of Section 2.08(b), (i) each Term SOFR Loan shall bear interest on the outstanding principal amount thereof for each Interest Period from the applicable borrowing date at a rate per annum equal to the Term SOFR for such Interest Period plus the Applicable Rate for the Revolving Facility; (ii) each Base Rate Loan shall bear interest on the outstanding principal amount thereof from the applicable borrowing date at a rate per annum equal to the Base Rate plus the Applicable Rate for the Revolving Facility; (iii) each Alternative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Daily Rate Loan shall bear interest on the outstanding principal amount thereof from the applicable borrowing date at a rate per annum equal to the Alternative Currency Daily Rate plus the Applicable Rate; (iv) each Alternative Currency Term Rate Loan shall bear interest on the outstanding principal amount thereof for each Interest Period at a rate per annum equal to the Alternative Currency Term Rate for such Interest Period plus the Applicable Rate; and (v) each Swingline Loan shall bear interest on the outstanding principal amount thereof from the applicable borrowing date at a rate per annum equal to the Base Rate plus the Applicable Rate for the Revolving Facility. To the extent that any calculation of interest or any fee required to be paid under this Agreement shall be based on (or result in) a calculation that is less than zero, such calculation shall be deemed zero for purposes of this Agreement.</w:t>
      </w:r>
    </w:p>
    <w:tbl>
      <w:tblPr>
        <w:tblW w:w="5000" w:type="pct"/>
        <w:jc w:val="left"/>
        <w:tblInd w:w="0" w:type="dxa"/>
        <w:tblLayout w:type="fixed"/>
        <w:tblCellMar>
          <w:top w:w="0" w:type="dxa"/>
          <w:left w:w="0" w:type="dxa"/>
          <w:bottom w:w="0" w:type="dxa"/>
          <w:right w:w="0" w:type="dxa"/>
        </w:tblCellMar>
      </w:tblPr>
      <w:tblGrid>
        <w:gridCol w:w="238"/>
        <w:gridCol w:w="1824"/>
        <w:gridCol w:w="8143"/>
      </w:tblGrid>
      <w:tr>
        <w:trPr/>
        <w:tc>
          <w:tcPr>
            <w:tcW w:w="238"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pPr>
            <w:r>
              <w:rPr/>
              <w:t>(b)</w:t>
            </w:r>
          </w:p>
        </w:tc>
        <w:tc>
          <w:tcPr>
            <w:tcW w:w="8143" w:type="dxa"/>
            <w:tcBorders/>
            <w:vAlign w:val="center"/>
          </w:tcPr>
          <w:p>
            <w:pPr>
              <w:pStyle w:val="TableContents"/>
              <w:bidi w:val="0"/>
              <w:spacing w:before="0" w:after="283"/>
              <w:jc w:val="left"/>
              <w:rPr/>
            </w:pPr>
            <w:r>
              <w:rPr>
                <w:u w:val="single"/>
              </w:rPr>
              <w:t>Default Rate</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XXXVIII</w:t>
      </w:r>
      <w:r>
        <w:rPr>
          <w:rFonts w:ascii="Times New Roman;Times;Serif" w:hAnsi="Times New Roman;Times;Serif"/>
          <w:b w:val="false"/>
          <w:i w:val="false"/>
          <w:caps w:val="false"/>
          <w:smallCaps w:val="false"/>
          <w:sz w:val="20"/>
        </w:rPr>
        <w:t xml:space="preserve">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XXXIX </w:t>
      </w:r>
      <w:r>
        <w:rPr>
          <w:rFonts w:ascii="Times New Roman;Times;Serif" w:hAnsi="Times New Roman;Times;Serif"/>
          <w:b w:val="false"/>
          <w:i w:val="false"/>
          <w:caps w:val="false"/>
          <w:smallCaps w:val="false"/>
          <w:sz w:val="20"/>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XL </w:t>
      </w:r>
      <w:r>
        <w:rPr>
          <w:rFonts w:ascii="Times New Roman;Times;Serif" w:hAnsi="Times New Roman;Times;Serif"/>
          <w:b w:val="false"/>
          <w:i w:val="false"/>
          <w:caps w:val="false"/>
          <w:smallCaps w:val="false"/>
          <w:sz w:val="20"/>
        </w:rPr>
        <w:t>Upon the request of the Required Lenders, while any Event of Default exists (including a payment Event of Default), all outstanding Obligations (including Letter of Credit Fees) may accrue at a fluctuating interest rate per annum at all times equal to the Default Rate to the fullest extent permitted by applicable Laws.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XLI</w:t>
      </w:r>
      <w:r>
        <w:rPr>
          <w:rFonts w:ascii="Times New Roman;Times;Serif" w:hAnsi="Times New Roman;Times;Serif"/>
          <w:b w:val="false"/>
          <w:i w:val="false"/>
          <w:caps w:val="false"/>
          <w:smallCaps w:val="false"/>
          <w:sz w:val="20"/>
        </w:rPr>
        <w:t xml:space="preserve"> Accrued and unpaid interest on past due amounts (including interest on past due interest) shall be due and payable upon demand.</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left"/>
              <w:rPr/>
            </w:pPr>
            <w:r>
              <w:rPr>
                <w:u w:val="single"/>
              </w:rPr>
              <w:t>Interest Payments</w:t>
            </w:r>
            <w:r>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41.02      </w:t>
      </w:r>
      <w:r>
        <w:rPr>
          <w:rFonts w:ascii="Times New Roman;Times;Serif" w:hAnsi="Times New Roman;Times;Serif"/>
          <w:b/>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certain fees described in subsections (h) and (i) of Section 2.03:</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u w:val="single"/>
              </w:rPr>
              <w:t>Commitment Fee</w:t>
            </w:r>
            <w:r>
              <w:rPr/>
              <w:t>. The Domestic Borrowers shall pay to the Administrative Agent for the account of each Revolving Lender in</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accordance with its Applicable Percentage, a commitment fee in Dollars equal to the Applicable Rate times the actual daily amount by which the Revolving Facility exceeds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(i) the Outstanding Amount of Revolving Loans and (ii) the Outstanding Amount of L/C Obligations, subject to adjustment as provided in Section 2.15. For the avoidance of doubt, the Outstanding Amount of Swingline Loans shall not be counted towards or considered usage of the Aggregate Commitments. The commitment fee shall accrue at all times during the Availability Period, including at any time during which one or more of the conditions in Article IV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tbl>
      <w:tblPr>
        <w:tblW w:w="5000" w:type="pct"/>
        <w:jc w:val="left"/>
        <w:tblInd w:w="0" w:type="dxa"/>
        <w:tblLayout w:type="fixed"/>
        <w:tblCellMar>
          <w:top w:w="0" w:type="dxa"/>
          <w:left w:w="0" w:type="dxa"/>
          <w:bottom w:w="0" w:type="dxa"/>
          <w:right w:w="0" w:type="dxa"/>
        </w:tblCellMar>
      </w:tblPr>
      <w:tblGrid>
        <w:gridCol w:w="265"/>
        <w:gridCol w:w="2030"/>
        <w:gridCol w:w="7910"/>
      </w:tblGrid>
      <w:tr>
        <w:trPr/>
        <w:tc>
          <w:tcPr>
            <w:tcW w:w="26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pPr>
            <w:r>
              <w:rPr/>
              <w:t>(b)</w:t>
            </w:r>
          </w:p>
        </w:tc>
        <w:tc>
          <w:tcPr>
            <w:tcW w:w="7910" w:type="dxa"/>
            <w:tcBorders/>
            <w:vAlign w:val="center"/>
          </w:tcPr>
          <w:p>
            <w:pPr>
              <w:pStyle w:val="TableContents"/>
              <w:bidi w:val="0"/>
              <w:spacing w:before="0" w:after="283"/>
              <w:jc w:val="left"/>
              <w:rPr/>
            </w:pPr>
            <w:r>
              <w:rPr>
                <w:u w:val="single"/>
              </w:rPr>
              <w:t>Other Fees</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XLII </w:t>
      </w:r>
      <w:r>
        <w:rPr>
          <w:rFonts w:ascii="Times New Roman;Times;Serif" w:hAnsi="Times New Roman;Times;Serif"/>
          <w:b w:val="false"/>
          <w:i w:val="false"/>
          <w:caps w:val="false"/>
          <w:smallCaps w:val="false"/>
          <w:sz w:val="20"/>
        </w:rPr>
        <w:t>The Domestic Borrowers shall pay to the Administrative Agent and the Arranger for its own account, in Dollars, fees in the amounts and at the times specified in the Fee Letter. Such fees shall be fully earned when paid and shall not be refundable for any reason whatsoever.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XLIII</w:t>
      </w:r>
      <w:r>
        <w:rPr>
          <w:rFonts w:ascii="Times New Roman;Times;Serif" w:hAnsi="Times New Roman;Times;Serif"/>
          <w:b w:val="false"/>
          <w:i w:val="false"/>
          <w:caps w:val="false"/>
          <w:smallCaps w:val="false"/>
          <w:sz w:val="20"/>
        </w:rPr>
        <w:t xml:space="preserve"> The applicable Borrowers shall pay to the Lenders, in Dollars, such fees as shall have been separately agreed upon in writing in the amounts and at the times so specified.</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43.01      </w:t>
      </w:r>
      <w:r>
        <w:rPr>
          <w:rFonts w:ascii="Times New Roman;Times;Serif" w:hAnsi="Times New Roman;Times;Serif"/>
          <w:b/>
          <w:i w:val="false"/>
          <w:caps w:val="false"/>
          <w:smallCaps w:val="false"/>
          <w:sz w:val="20"/>
          <w:u w:val="single"/>
        </w:rPr>
        <w:t>Computation of Interest and Fees; Retroactive Adjustments of Applicable Rate</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u w:val="single"/>
              </w:rPr>
              <w:t>Computation of Interest and Fees</w:t>
            </w:r>
            <w:r>
              <w:rPr/>
              <w:t>. All computations of interest for Base Rate Loans (including Base Rate Loans determined by reference to the Term SOFR) and for Loans denominated in Alternative Currencies (other than Alternative Currency Loans with respect to SARON and EURIBOR) shall be made on the basis of a year of 365 or 366 days, as the case may be, and actual days elapsed. All other computations of fees and interest, including those with respect to Term SOFR Loans and Alternative Currency Loans determined by reference to SARON and EURIBOR, shall be made on the basis of a 360-day year and actual days elapsed (which results in more fees or interest, as applicable, being paid than if computed on the basis of a 365 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provided that any Loan that is repaid on the same day on which it is made shall, subject to</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2.12(a), bear interest for one (1) day. Each determination by the Administrative Agent of an interest rate or fee hereunder shall be conclusive and binding for all purposes, absent manifest error.</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left"/>
              <w:rPr/>
            </w:pPr>
            <w:r>
              <w:rPr>
                <w:u w:val="single"/>
              </w:rPr>
              <w:t>Financial Statement Adjustments or Restatements</w:t>
            </w:r>
            <w:r>
              <w:rPr/>
              <w:t>. If, as a result of any restatement of or other adjustment to the financial statements of the Parent and its Subsidiaries or for any other reason, the Borrowers or the Lenders determine that (i) the Consolidated Net Leverage Ratio as calculated by the Parent as of any applicable date was inaccurate and (ii) a proper calculation of the Consolidated Net Leverage Ratio would have resulted in higher pricing for such period, the applicable Borrowers shall be obligated to pay to the Administrative Agent for the account of the applicable Lenders or the L/C Issuer, as the case may be, promptly on demand by the Administrative Agent (or, after the occurrence of an actual or deemed entry of an order for relief with respect to any of the Borrowers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any provision of this Agreement to payment of any Obligations hereunder at the Default Rate or under Article VIII. Each Borrower’s obligations under this paragraph shall survive the termination of the Aggregate Commitments and the repayment of all other Obligations hereunder.</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43.02      </w:t>
      </w:r>
      <w:r>
        <w:rPr>
          <w:rFonts w:ascii="Times New Roman;Times;Serif" w:hAnsi="Times New Roman;Times;Serif"/>
          <w:b/>
          <w:i w:val="false"/>
          <w:caps w:val="false"/>
          <w:smallCaps w:val="false"/>
          <w:sz w:val="20"/>
          <w:u w:val="single"/>
        </w:rPr>
        <w:t>Evidence of Debt</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u w:val="single"/>
              </w:rPr>
              <w:t>Maintenance of Accounts</w:t>
            </w:r>
            <w:r>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applicable Borrowers and the interest and payments thereon. Any failure to so record or any error in doing so shall not, however, limit or otherwise affect the obligation of the applicable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each of the Borrowers shall execute and deliver to such Lender (through the Administrative Agent) a Note, which shall evidence such Lender’s Loans in addition to such accounts or records. Each Lender may attach schedules to its Note and</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endorse thereon the date, Type (if applicable), amount, currency and maturity of its Loans and payments with respect thereto.</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left"/>
              <w:rPr/>
            </w:pPr>
            <w:r>
              <w:rPr>
                <w:u w:val="single"/>
              </w:rPr>
              <w:t>Maintenance of Records</w:t>
            </w:r>
            <w:r>
              <w:rPr/>
              <w:t>. In addition to the accounts and records referred to in Section 2.11(a),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43.03      </w:t>
      </w:r>
      <w:r>
        <w:rPr>
          <w:rFonts w:ascii="Times New Roman;Times;Serif" w:hAnsi="Times New Roman;Times;Serif"/>
          <w:b/>
          <w:i w:val="false"/>
          <w:caps w:val="false"/>
          <w:smallCaps w:val="false"/>
          <w:sz w:val="20"/>
          <w:u w:val="single"/>
        </w:rPr>
        <w:t>Payments Generally; Administrative Agent’s Clawback</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(a)</w:t>
            </w:r>
          </w:p>
        </w:tc>
        <w:tc>
          <w:tcPr>
            <w:tcW w:w="9966" w:type="dxa"/>
            <w:tcBorders/>
            <w:vAlign w:val="center"/>
          </w:tcPr>
          <w:p>
            <w:pPr>
              <w:pStyle w:val="TableContents"/>
              <w:bidi w:val="0"/>
              <w:spacing w:before="0" w:after="283"/>
              <w:jc w:val="left"/>
              <w:rPr/>
            </w:pPr>
            <w:r>
              <w:rPr>
                <w:u w:val="single"/>
              </w:rPr>
              <w:t>General</w:t>
            </w:r>
            <w:r>
              <w:rPr/>
              <w:t>. All payments to be made by any Borrower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any Borrower hereunder shall be made to the Administrative Agent, for the account of the respective Lenders to which such payment is owed, at the Administrative Agent’s Office in Dollars and in Same Day Funds not later than 2:00 p.m. (New York City time) on the date specified herein. Except as otherwise expressly provided herein, all payments by any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(New York City time),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Section 2.07(a) and as otherwise specifically provided for in this Agreement, if any payment to be made by any</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come due on a day other than a Business Day, payment shall be made on the next following Business Day, and such extension of time shall be reflected in computing interest or fees, as the case may be.</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(b)</w:t>
            </w:r>
          </w:p>
        </w:tc>
        <w:tc>
          <w:tcPr>
            <w:tcW w:w="9951" w:type="dxa"/>
            <w:tcBorders/>
            <w:vAlign w:val="center"/>
          </w:tcPr>
          <w:p>
            <w:pPr>
              <w:pStyle w:val="TableContents"/>
              <w:bidi w:val="0"/>
              <w:spacing w:before="0" w:after="283"/>
              <w:jc w:val="left"/>
              <w:rPr/>
            </w:pPr>
            <w:r>
              <w:rPr/>
              <w:t>(i)(a)</w:t>
              <w:tab/>
            </w:r>
            <w:r>
              <w:rPr>
                <w:u w:val="single"/>
              </w:rPr>
              <w:t>Funding by Lenders; Presumption by Administrative Agent</w:t>
            </w:r>
            <w:r>
              <w:rPr/>
              <w:t>. Unless the Administrative Agent shall have received notice from a Lender prior to the proposed date of any Borrowing of Term SOFR Loans or Alternative Currency Loans (or, in the case of any Borrowing of Base Rate Loans,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Base Rate Loans, that such Lender has made such share available in accordance with and at the time required by Section 2.02) and may, in reliance upon such assumption, make available to the applicable Borrower a corresponding amount. In such event, if a Lender has not in fact made its share of the applicable Borrowing available to the Administrative Agent, then the applicable Lender and the Borrowers that are jointly and severally liable with respect to such Borrowing severally agree to pay to the Administrative Agent forthwith on demand such corresponding amount in Same Day Funds with interest thereon, for each day from and including the date such amount is made available to the applicable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any Borrower, the interest rate applicable to Base Rate Loans or, in the case of Alternative Currencies, in accordance with such market practice, in each case, as applicable. If any Borrower and such Lender shall pay such interest to the Administrative Agent for the same or an overlapping period, the Administrative Agent shall promptly remit to the applicable Borrower the amount of such interest paid by the Borrowers for such period. If such Lender pays its share of the applicable Borrowing to the Administrative Agent, then the amount so paid shall constitute such Lender’s Loan included in such Borrowing. Any payment by a Borrower shall be without prejudice to any claim the applicable Borrowers may have against a Lender that shall have failed to make such payment to the Administrative Agent.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XLIV </w:t>
      </w:r>
      <w:r>
        <w:rPr>
          <w:rFonts w:ascii="Times New Roman;Times;Serif" w:hAnsi="Times New Roman;Times;Serif"/>
          <w:b w:val="false"/>
          <w:i w:val="false"/>
          <w:caps w:val="false"/>
          <w:smallCaps w:val="false"/>
          <w:sz w:val="20"/>
          <w:u w:val="single"/>
        </w:rPr>
        <w:t>Payments by Borrower; Presumptions by Administrative Agent</w:t>
      </w:r>
      <w:r>
        <w:rPr>
          <w:rFonts w:ascii="Times New Roman;Times;Serif" w:hAnsi="Times New Roman;Times;Serif"/>
          <w:b w:val="false"/>
          <w:i w:val="false"/>
          <w:caps w:val="false"/>
          <w:smallCaps w:val="false"/>
          <w:sz w:val="20"/>
        </w:rPr>
        <w:t>.</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Administrative Agent shall have received notice from the Borrowers prior to the date on which any payment is due to the Administrative Agent for the account of the Lenders or the L/C Issuer hereunder that the Borrowers will not make such payment, the Administrative Agent may assume that the Borrowers have made such payment on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in accordance herewith and may, in reliance upon such assumption, distribute to the Lenders or the L/C Issuer, as the case may be, the amount due.</w:t>
      </w:r>
    </w:p>
    <w:p>
      <w:pPr>
        <w:pStyle w:val="TextBody"/>
        <w:bidi w:val="0"/>
        <w:spacing w:before="0" w:after="240"/>
        <w:ind w:left="1440" w:right="0" w:firstLine="720"/>
        <w:jc w:val="left"/>
        <w:rPr>
          <w:rFonts w:ascii="TimesNewRoman" w:hAnsi="TimesNewRoman"/>
          <w:b w:val="false"/>
          <w:i w:val="false"/>
          <w:caps w:val="false"/>
          <w:smallCaps w:val="false"/>
          <w:sz w:val="20"/>
        </w:rPr>
      </w:pPr>
      <w:r>
        <w:rPr>
          <w:rFonts w:ascii="TimesNewRoman" w:hAnsi="TimesNewRoman"/>
          <w:b w:val="false"/>
          <w:i w:val="false"/>
          <w:caps w:val="false"/>
          <w:smallCaps w:val="false"/>
          <w:sz w:val="20"/>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NewRoman" w:hAnsi="TimesNewRoman"/>
          <w:b w:val="false"/>
          <w:i w:val="false"/>
          <w:caps w:val="false"/>
          <w:smallCaps w:val="false"/>
          <w:sz w:val="20"/>
          <w:u w:val="single"/>
        </w:rPr>
        <w:t>Rescindable Amount</w:t>
      </w:r>
      <w:r>
        <w:rPr>
          <w:rFonts w:ascii="TimesNewRoman" w:hAnsi="TimesNewRoman"/>
          <w:b w:val="false"/>
          <w:i w:val="false"/>
          <w:caps w:val="false"/>
          <w:smallCaps w:val="false"/>
          <w:sz w:val="20"/>
        </w:rPr>
        <w:t>”</w:t>
      </w:r>
      <w:r>
        <w:rPr>
          <w:rFonts w:ascii="TimesNewRoman" w:hAnsi="TimesNewRoman"/>
          <w:b w:val="false"/>
          <w:i/>
          <w:caps w:val="false"/>
          <w:smallCaps w:val="false"/>
          <w:sz w:val="20"/>
        </w:rPr>
        <w:t>)</w:t>
      </w:r>
      <w:r>
        <w:rPr>
          <w:rFonts w:ascii="TimesNewRoman" w:hAnsi="TimesNewRoman"/>
          <w:b w:val="false"/>
          <w:i w:val="false"/>
          <w:caps w:val="false"/>
          <w:smallCaps w:val="false"/>
          <w:sz w:val="20"/>
        </w:rPr>
        <w:t>: (1) the Borrowers have not in fact made such payment; (2) the Administrative Agent has made a payment in excess of the amount so paid by the Borrowers (whether or not then owed); or (3) the Administrative Agent has for any reason otherwise erroneously made such payment; then each of the Lenders or the L/C Issuer</w:t>
      </w:r>
      <w:r>
        <w:rPr>
          <w:rFonts w:ascii="TimesNewRoman" w:hAnsi="TimesNewRoman"/>
          <w:b/>
          <w:i w:val="false"/>
          <w:caps w:val="false"/>
          <w:smallCaps w:val="false"/>
          <w:sz w:val="20"/>
        </w:rPr>
        <w:t xml:space="preserve">, </w:t>
      </w:r>
      <w:r>
        <w:rPr>
          <w:rFonts w:ascii="TimesNewRoman" w:hAnsi="TimesNewRoman"/>
          <w:b w:val="false"/>
          <w:i w:val="false"/>
          <w:caps w:val="false"/>
          <w:smallCaps w:val="false"/>
          <w:sz w:val="20"/>
        </w:rPr>
        <w:t>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the Administrative Agent to any Lender or the Borrowers with respect to any amount owing under this paragraph (b) shall be conclusive, absent manifest error.</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u w:val="single"/>
              </w:rPr>
              <w:t>Failure to Satisfy Conditions Precedent</w:t>
            </w:r>
            <w:r>
              <w:rPr/>
              <w:t>. If any Lender makes available to the Administrative Agent funds for any Loan to be made by such Lender as provided in the foregoing provisions of this Article II, and such funds are not made available to the applicable Borrower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u w:val="single"/>
              </w:rPr>
              <w:t>Obligations of Lenders Several</w:t>
            </w:r>
            <w:r>
              <w:rPr/>
              <w:t>. The obligations of the Lenders hereunder to make Revolving Loans, to fund participations in Letters of Credit and Swingline Loans and to make payments pursuant to Section 11.04(c) are several and not joint. The failure of any Lender to make any Loan, to fund any such participation or to make any payment under Section 11.04(c)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11.04(c).</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left"/>
              <w:rPr/>
            </w:pPr>
            <w:r>
              <w:rPr>
                <w:u w:val="single"/>
              </w:rPr>
              <w:t>Funding Source</w:t>
            </w:r>
            <w:r>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left"/>
              <w:rPr/>
            </w:pPr>
            <w:r>
              <w:rPr>
                <w:u w:val="single"/>
              </w:rPr>
              <w:t>Insufficient Funds</w:t>
            </w:r>
            <w:r>
              <w:rPr/>
              <w:t>. If at any time insufficient funds are received by and available to the Administrative Agent to pay fully all amounts of principal, L/C Borrowings, interest and fees then due hereunder, such funds shall be applied (i) first, toward payment of interest and fees then due hereunder,</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(e)</w:t>
            </w:r>
          </w:p>
        </w:tc>
        <w:tc>
          <w:tcPr>
            <w:tcW w:w="9963" w:type="dxa"/>
            <w:tcBorders/>
            <w:vAlign w:val="center"/>
          </w:tcPr>
          <w:p>
            <w:pPr>
              <w:pStyle w:val="TableContents"/>
              <w:bidi w:val="0"/>
              <w:spacing w:before="0" w:after="283"/>
              <w:jc w:val="left"/>
              <w:rPr/>
            </w:pPr>
            <w:r>
              <w:rPr>
                <w:u w:val="single"/>
              </w:rPr>
              <w:t>Pro Rata Treatment</w:t>
            </w:r>
            <w:r>
              <w:rPr/>
              <w:t>. Except to the extent otherwise provided herein: (i) each Borrowing (other than Swingline Borrowings) shall be made from the Appropriate Lenders, each payment of fees under Sections 2.09 and 2.03(h) and (i) shall be made for account of the Appropriate Lenders, and each termination or reduction of the amount of the Revolving Commitments shall be applied to the respective Revolving Commitments of the Lenders, pro rata according to the amounts of their respective Revolving Commitments; (ii) each Borrowing shall be allocated pro rata among the Lenders according to the amounts of their respective Revolving Commitments (in the case of the making of Revolving Loans) or their respective Loans that are to be included in such Borrowing (in the case of conversions and continuations of Loans); (iii) each payment or prepayment of principal of Loans by any applicable Borrower shall be made for the account of the Appropriate Lenders pro rata in accordance with the respective unpaid principal amounts of the Loans held by them; and (iv) each payment of interest on Loans by any applicable Borrower shall be made for account of the Appropriate Lenders pro rata in accordance with the amounts of interest on the Loans then due and payable to the respective Appropriate Lenders.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44.02      </w:t>
      </w:r>
      <w:r>
        <w:rPr>
          <w:rFonts w:ascii="Times New Roman;Times;Serif" w:hAnsi="Times New Roman;Times;Serif"/>
          <w:b/>
          <w:i w:val="false"/>
          <w:caps w:val="false"/>
          <w:smallCaps w:val="false"/>
          <w:sz w:val="20"/>
          <w:u w:val="single"/>
        </w:rPr>
        <w:t>Sharing of Payments by Lenders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payments on account of the Obligations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aggregate amount of Obligations then due and payable to the Lenders or owing (but not due and payable) to the Lenders,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283"/>
              <w:jc w:val="left"/>
              <w:rPr/>
            </w:pPr>
            <w:r>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left"/>
              <w:rPr/>
            </w:pPr>
            <w:r>
              <w:rPr/>
              <w:t>the provisions of this Section shall not be construed to apply to (x) any payment made by or on behalf of the Borrowers pursuant to and in accordance with the express terms of this Agreement (including the application of funds arising from the existence of a Defaulting Lender), (y) the application of Cash Collateral provided for in Section 2.14, or (z)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Section shall apply);</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payment received from or in respect of any Foreign Subsidiary or CFC Holding Company shall be applied to the Obligations of any Domestic Loan Party.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44.03      </w:t>
      </w:r>
      <w:r>
        <w:rPr>
          <w:rFonts w:ascii="Times New Roman;Times;Serif" w:hAnsi="Times New Roman;Times;Serif"/>
          <w:b/>
          <w:i w:val="false"/>
          <w:caps w:val="false"/>
          <w:smallCaps w:val="false"/>
          <w:sz w:val="20"/>
          <w:u w:val="single"/>
        </w:rPr>
        <w:t>Cash Collateral</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left"/>
              <w:rPr/>
            </w:pPr>
            <w:r>
              <w:rPr>
                <w:u w:val="single"/>
              </w:rPr>
              <w:t>Certain Credit Support Events</w:t>
            </w:r>
            <w:r>
              <w:rPr/>
              <w:t>. If (i) the L/C Issuer has honored any full or partial drawing request under any Letter of Credit and such drawing has resulted in an L/C Borrowing, (ii) as of the Letter of Credit Expiration Date, any L/C Obligation for any reason remains outstanding, (iii) any Borrower shall be required to provide Cash Collateral pursuant to Section 2.05 or 8.02(c), or (iv) there shall exist a Defaulting Lender, the applicable Borrowers shall promptly (in the case of clause (iii) above) or within one (1) Business Day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Section 2.15(a)(iv) and any Cash Collateral provided by the Defaulting Lender). Additionally, if the Administrative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notifies the Parent at any time that the Outstanding Amount of all L/C Obligations at such time exceeds 105% of the Letter of Credit Sublimit then in effect, then within two (2) Business Days after receipt of such notice, the applicable Borrowers shall provide Cash Collateral for the Outstanding Amount of the L/C Obligations in an amount not less than the amount by which the Outstanding Amount of all L/C Obligations exceeds the Letter of Credit Sublimit.</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left"/>
              <w:rPr/>
            </w:pPr>
            <w:r>
              <w:rPr>
                <w:u w:val="single"/>
              </w:rPr>
              <w:t>Grant of Security Interest</w:t>
            </w:r>
            <w:r>
              <w:rPr/>
              <w:t>. Each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by such Borrower as collateral pursuant hereto, and in all proceeds of the foregoing, all as security for the obligations to which such Cash Collateral may be applied pursuant to Section 2.14(c).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each applicable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blocked, non-interest bearing deposit accounts at Bank of America. The applicable Borrowers shall pay on demand therefor from time to time all customary account opening, activity and other administrative fees and charges in connection with the maintenance and disbursement of Cash Collateral.</w:t>
            </w:r>
          </w:p>
        </w:tc>
      </w:tr>
    </w:tbl>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left"/>
              <w:rPr/>
            </w:pPr>
            <w:r>
              <w:rPr>
                <w:u w:val="single"/>
              </w:rPr>
              <w:t>Application</w:t>
            </w:r>
            <w:r>
              <w:rPr/>
              <w:t xml:space="preserve">. Notwithstanding anything to the contrary contained in this Agreement, Cash Collateral provided under any of this Section 2.14 or Sections 2.03, 2.05, 2.15 or 8.02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 </w:t>
            </w:r>
            <w:r>
              <w:rPr>
                <w:u w:val="single"/>
              </w:rPr>
              <w:t>provided</w:t>
            </w:r>
            <w:r>
              <w:rPr/>
              <w:t>, that no Cash Collateral provided by any Foreign Loan Party shall be applied to the Obligations of any Domestic Loan Party.</w:t>
            </w:r>
          </w:p>
        </w:tc>
      </w:tr>
    </w:tbl>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left"/>
              <w:rPr/>
            </w:pPr>
            <w:r>
              <w:rPr>
                <w:u w:val="single"/>
              </w:rPr>
              <w:t>Release</w:t>
            </w:r>
            <w:r>
              <w:rPr/>
              <w:t>.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Defaulting Lender status of the applicable Revolving Lender (or, as appropriate, its assignee following compliance with Section 11.06(b)(vi))) or (ii) the determination by the Administrative Agent and the L/C Issuer that there exists excess Cash Collateral (which determination shall be made upon the reasonable written request of the Borrowers);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44.04      </w:t>
      </w:r>
      <w:r>
        <w:rPr>
          <w:rFonts w:ascii="Times New Roman;Times;Serif" w:hAnsi="Times New Roman;Times;Serif"/>
          <w:b/>
          <w:i w:val="false"/>
          <w:caps w:val="false"/>
          <w:smallCaps w:val="false"/>
          <w:sz w:val="20"/>
          <w:u w:val="single"/>
        </w:rPr>
        <w:t>Defaulting Lenders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u w:val="single"/>
              </w:rPr>
              <w:t>Adjustments</w:t>
            </w:r>
            <w:r>
              <w:rPr/>
              <w:t>. Notwithstanding anything to the contrary contained in this Agreement, if any Lender becomes a Defaulting Lender, then, until such time as that Lender is no longer a Defaulting Lender, to the extent permitted by applicable Law:</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XLV</w:t>
      </w:r>
      <w:r>
        <w:rPr>
          <w:rFonts w:ascii="Times New Roman;Times;Serif" w:hAnsi="Times New Roman;Times;Serif"/>
          <w:b w:val="false"/>
          <w:i w:val="false"/>
          <w:caps w:val="false"/>
          <w:smallCaps w:val="false"/>
          <w:sz w:val="20"/>
          <w:u w:val="single"/>
        </w:rPr>
        <w:t xml:space="preserve"> Waivers and Amendments</w:t>
      </w:r>
      <w:r>
        <w:rPr>
          <w:rFonts w:ascii="Times New Roman;Times;Serif" w:hAnsi="Times New Roman;Times;Serif"/>
          <w:b w:val="false"/>
          <w:i w:val="false"/>
          <w:caps w:val="false"/>
          <w:smallCaps w:val="false"/>
          <w:sz w:val="20"/>
        </w:rPr>
        <w:t>. Such Defaulting Lender’s right to approve or disapprove any amendment, waiver or consent with respect to this Agreement shall be restricted as set forth in the definition of “Required Lenders” and Section 11.01.</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XLVI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Article VIII or otherwise) or received by the Administrative Agent from a Defaulting Lender pursuant to Section 11.08 shall be applied at such time or times as may be determined by the Administrative Agent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the L/C Issuer or Swingline Lender hereunder;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Cash Collateralize the L/C Issuer’s Fronting Exposure with respect to such Defaulting Lender in accordance with Section 2.14;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if so determined by the Administrative Agent and the Borrowers, to be held in a deposit account and released pro rata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Section 2.14;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so long as no Default or Event of Default exists, to the payment of any amounts owing to any Borrower as a result of any judgment of a court of competent jurisdiction obtained by such Borrower against such Defaulting Lender as a result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Defaulting Lender’s breach of its obligations under this Agreement; and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to such Defaulting Lender or as otherwise as may be required under the Loan Documents in connection with any Lien conferred thereunder or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if (1) such payment is a payment of the principal amount of any Loans or L/C Borrowings in respect of which such Defaulting Lender has not fully funded its appropriate share, and (2) such Loans were made or the related Letters of Credit were issued at a time when the conditions set forth in Section 4.02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Revolving Commitments hereunder without giving effect to Section 2.15(a)(v) and (B) no payment received from or in respect of any Foreign Loan Party shall be applied to the Obligations of any Domestic Borrower. Any payments, prepayments or other amounts paid or payable to a Defaulting Lender that are applied (or held) to pay amounts owed by a Defaulting Lender or to post Cash Collateral pursuant to this Section 2.15(a)(ii) shall be deemed paid to and redirected by such Defaulting Lender, and each Lender irrevocably consents hereto.</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XLVII</w:t>
      </w:r>
      <w:r>
        <w:rPr>
          <w:rFonts w:ascii="Times New Roman;Times;Serif" w:hAnsi="Times New Roman;Times;Serif"/>
          <w:b w:val="false"/>
          <w:i w:val="false"/>
          <w:caps w:val="false"/>
          <w:smallCaps w:val="false"/>
          <w:sz w:val="20"/>
          <w:u w:val="single"/>
        </w:rPr>
        <w:t xml:space="preserve"> Certain Fees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283"/>
              <w:jc w:val="left"/>
              <w:rPr/>
            </w:pPr>
            <w:r>
              <w:rPr>
                <w:u w:val="single"/>
              </w:rPr>
              <w:t>Fees</w:t>
            </w:r>
            <w:r>
              <w:rPr/>
              <w:t>. No Defaulting Lender shall be entitled to receive any fee payable under Section 2.09(a) for any period during which that Lender is a Defaulting Lender (and the applicable Borrowers shall not be required to pay any such fee that otherwise would have been required to have been paid to that Defaulting Lender).</w:t>
            </w:r>
          </w:p>
        </w:tc>
      </w:tr>
    </w:tbl>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left"/>
              <w:rPr/>
            </w:pPr>
            <w:r>
              <w:rPr>
                <w:u w:val="single"/>
              </w:rPr>
              <w:t>Letter of Credit Fees</w:t>
            </w:r>
            <w:r>
              <w:rPr/>
              <w:t>.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Section 2.14.</w:t>
            </w:r>
          </w:p>
        </w:tc>
      </w:tr>
    </w:tbl>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(C)</w:t>
            </w:r>
          </w:p>
        </w:tc>
        <w:tc>
          <w:tcPr>
            <w:tcW w:w="9899" w:type="dxa"/>
            <w:tcBorders/>
            <w:vAlign w:val="center"/>
          </w:tcPr>
          <w:p>
            <w:pPr>
              <w:pStyle w:val="TableContents"/>
              <w:bidi w:val="0"/>
              <w:spacing w:before="0" w:after="283"/>
              <w:jc w:val="left"/>
              <w:rPr/>
            </w:pPr>
            <w:r>
              <w:rPr>
                <w:u w:val="single"/>
              </w:rPr>
              <w:t>Defaulting Lender Fees</w:t>
            </w:r>
            <w:r>
              <w:rPr/>
              <w:t>. With respect to any Letter of Credit Fee not required to be paid to any Defaulting Lender pursuant to clause (B) above, the applicable Borrowers shall (1) pay to each Non-Defaulting Lender that portion of any such fee otherwise payable to such Defaulting Lender with respect to such Defaulting Lender’s participation in L/C Obligations that has been reallocated to such Non-Defaulting Lender pursuant to clause (iv) below, (2) pay to the L/C Issuer the amount of any such fee otherwise payable to such Defaulting Lender to the extent allocable to such L/C Issuer’s Fronting Exposure to such Defaulting Lender, and (3) not be required to pay the remaining amount of any such fee.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XLVIII</w:t>
      </w:r>
      <w:r>
        <w:rPr>
          <w:rFonts w:ascii="Times New Roman;Times;Serif" w:hAnsi="Times New Roman;Times;Serif"/>
          <w:b w:val="false"/>
          <w:i w:val="false"/>
          <w:caps w:val="false"/>
          <w:smallCaps w:val="false"/>
          <w:sz w:val="20"/>
        </w:rPr>
        <w:t xml:space="preserve"> Reallocation of Applicable Percentages to Reduce Fronting Exposure. All or any part of such Defaulting Lender’s participation in L/C Obligations and Swingline Loans shall be reallocated among the Non-Defaulting Lenders in accordance with their respective Applicable Percentages (calculated without regard to such Defaulting Lender’s Revolving Commitment) but only to the extent that such reallocation does not cause the aggregate Revolving Exposure of any Non-Defaulting Lender to exceed such Non-Defaulting Lender’s Revolving Commitment. Subject to Section 11.26,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XLIX</w:t>
      </w:r>
      <w:r>
        <w:rPr>
          <w:rFonts w:ascii="Times New Roman;Times;Serif" w:hAnsi="Times New Roman;Times;Serif"/>
          <w:b w:val="false"/>
          <w:i w:val="false"/>
          <w:caps w:val="false"/>
          <w:smallCaps w:val="false"/>
          <w:sz w:val="20"/>
          <w:u w:val="single"/>
        </w:rPr>
        <w:t xml:space="preserve"> Cash Collateral, Repayment of Swingline Loans</w:t>
      </w:r>
      <w:r>
        <w:rPr>
          <w:rFonts w:ascii="Times New Roman;Times;Serif" w:hAnsi="Times New Roman;Times;Serif"/>
          <w:b w:val="false"/>
          <w:i w:val="false"/>
          <w:caps w:val="false"/>
          <w:smallCaps w:val="false"/>
          <w:sz w:val="20"/>
        </w:rPr>
        <w:t>. If the reallocation described in clause (a)(iv) above cannot, or can only partially, be effected, the applicable Borrowers shall, without prejudice to any right or remedy available to it hereunder or under applicable Law, (A) first, prepay Swingline Loans in an amount equal to the Swingline Lender’s Fronting Exposure and (B) second, Cash Collateralize the L/C Issuer’s Fronting Exposure in accordance with the procedures set forth in Section 2.14.</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u w:val="single"/>
              </w:rPr>
              <w:t>Defaulting Lender Cure</w:t>
            </w:r>
            <w:r>
              <w:rPr/>
              <w:t xml:space="preserve">. If the Borrowers, the Administrative Agent,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Section 2.15(a)(iv)), whereupon such Lender will cease to be a Defaulting Lender; </w:t>
            </w:r>
            <w:r>
              <w:rPr>
                <w:u w:val="single"/>
              </w:rPr>
              <w:t>provided</w:t>
            </w:r>
            <w:r>
              <w:rPr/>
              <w:t xml:space="preserve"> that no adjustments will be made retroactively with respect to fees accrued or payments made by or on behalf of any Borrower while that Lender was a Defaulting Lender; and </w:t>
            </w:r>
            <w:r>
              <w:rPr>
                <w:u w:val="single"/>
              </w:rPr>
              <w:t>provided, further</w:t>
            </w:r>
            <w:r>
              <w:rPr/>
              <w:t>, that except to the extent otherwise expressly agreed by the affected parties, no change hereunder from Defaulting Lender to Lender will constitute a waiver or release of any claim of any party hereunder arising from that Lender’s having been a Defaulting Lender.</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49.02      </w:t>
      </w:r>
      <w:r>
        <w:rPr>
          <w:rFonts w:ascii="Times New Roman;Times;Serif" w:hAnsi="Times New Roman;Times;Serif"/>
          <w:b/>
          <w:i w:val="false"/>
          <w:caps w:val="false"/>
          <w:smallCaps w:val="false"/>
          <w:sz w:val="20"/>
          <w:u w:val="single"/>
        </w:rPr>
        <w:t>Increase in Revolving Facility</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left"/>
              <w:rPr/>
            </w:pPr>
            <w:r>
              <w:rPr>
                <w:u w:val="single"/>
              </w:rPr>
              <w:t>Request for Increase</w:t>
            </w:r>
            <w:r>
              <w:rPr/>
              <w:t>.</w:t>
              <w:tab/>
              <w:t>Provided there exists no Default, upon notice to the Administrative Agent (which shall promptly notify the Revolving Lenders), the Borrowers may from time to time, request an increase in the Revolving Facility by an amount (for all such requests) not exceeding $50,000,000 (an “</w:t>
            </w:r>
            <w:r>
              <w:rPr>
                <w:u w:val="single"/>
              </w:rPr>
              <w:t>Incremental Facility</w:t>
            </w:r>
            <w:r>
              <w:rPr/>
              <w:t xml:space="preserve">”); </w:t>
            </w:r>
            <w:r>
              <w:rPr>
                <w:u w:val="single"/>
              </w:rPr>
              <w:t>provided</w:t>
            </w:r>
            <w:r>
              <w:rPr/>
              <w:t xml:space="preserve"> that (i) any such request for an Incremental Facility shall be in a minimum amount of $10,000,000 and in increments of $10,000,000, or, if less, the amount of</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remaining unused Incremental Facility, and (ii) the Borrowers may make a maximum of three (3) such requests. At the time of sending such notice, the Borrowers (in consultation with the Administrative Agent) shall specify the time period within which each Revolving Lender is requested to respond (which shall in no event be less than ten (10) Business Days from the date of delivery of such notice to the Revolving Lenders).</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left"/>
              <w:rPr/>
            </w:pPr>
            <w:r>
              <w:rPr>
                <w:u w:val="single"/>
              </w:rPr>
              <w:t>Lender Elections to Increase</w:t>
            </w:r>
            <w:r>
              <w:rPr/>
              <w:t>. Each Revolving Lender shall notify the Administrative Agent within such time period whether or not it agrees to increase its Revolving Commitment and, if so, whether by an amount equal to, greater than, or less than its Applicable Percentage of such requested increase. Any Revolving Lender not responding within such time period shall be deemed to have declined to increase its Revolving Commitment.</w:t>
            </w:r>
          </w:p>
        </w:tc>
      </w:tr>
    </w:tbl>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left"/>
              <w:rPr/>
            </w:pPr>
            <w:r>
              <w:rPr>
                <w:u w:val="single"/>
              </w:rPr>
              <w:t>Notification by Administrative Agent; Additional Revolving Lenders</w:t>
            </w:r>
            <w:r>
              <w:rPr/>
              <w:t>. The Administrative Agent shall notify the Borrowers and each Revolving Lender of the Revolving Lenders’ responses to each request made hereunder. To achieve the full amount of a requested increase, and subject to the approval of the Administrative Agent, the L/C Issuer and the Swingline Lender, the Borrowers may also invite additional Eligible Assignees to become Revolving Lenders pursuant to a joinder agreement (“</w:t>
            </w:r>
            <w:r>
              <w:rPr>
                <w:u w:val="single"/>
              </w:rPr>
              <w:t>New Revolving Lenders</w:t>
            </w:r>
            <w:r>
              <w:rPr/>
              <w:t>”) in form and substance reasonably satisfactory to the Administrative Agent and its counsel.</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left"/>
              <w:rPr/>
            </w:pPr>
            <w:r>
              <w:rPr>
                <w:u w:val="single"/>
              </w:rPr>
              <w:t>Effective Date and Allocations</w:t>
            </w:r>
            <w:r>
              <w:rPr/>
              <w:t>. If the Revolving Facility is increased in accordance with this Section, the Administrative Agent and the Borrowers shall determine the effective date (the “</w:t>
            </w:r>
            <w:r>
              <w:rPr>
                <w:u w:val="single"/>
              </w:rPr>
              <w:t>Revolving Increase Effective Date</w:t>
            </w:r>
            <w:r>
              <w:rPr/>
              <w:t>”) and the final allocation of such increase. The Administrative Agent shall promptly notify the Borrowers, the Revolving Lenders and the New Revolving Lenders of the final allocation of such increase and the Revolving Increase Effective Date. On the Revolving Increase Effective Date, all outstanding Revolving Loans shall be reallocated among the Lenders (including any New Revolving Lenders) in accordance with the Lenders’ respective revised Applicable Percentages.</w:t>
            </w:r>
          </w:p>
        </w:tc>
      </w:tr>
    </w:tbl>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left"/>
              <w:rPr/>
            </w:pPr>
            <w:r>
              <w:rPr>
                <w:u w:val="single"/>
              </w:rPr>
              <w:t>Conditions to Effectiveness of Increase</w:t>
            </w:r>
            <w:r>
              <w:rPr/>
              <w:t>. As a condition precedent to such increase, the Borrowers shall deliver to the Administrative Agent a certificate of each Loan Party dated as of the Revolving Increase Effective Date (in sufficient copies for each Lender) signed by a Responsible Officer of such Loan Party (i) certifying and attaching the resolutions adopted by such Loan Party approving or consenting to such increase, and (ii) in the case of the Borrowers, certifying that, before and after giving effect to such increase, (A) with respect to representations and warranties that contain a materiality qualification, be true and correct on and as of the on and as of the Revolving Increase Effective Date and, with respect to</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representations and warranties that do not contain a materiality qualification, be true and correct in all material respects, on and as of the Revolving Increase Effective Date, and except (x) that for purposes of this Section, the representations and warranties contained in subsections (a) and (b) of Section 5.05 shall be deemed to refer to the most recent statements furnished pursuant to clauses (a) and (b), respectively, of Section 6.01, and (y) except that such representations and warranties that relate solely to an earlier date shall be true and correct in all material respects as of such earlier date, and (B) both before and after giving effect to the Incremental Facility, no Default exists. The Borrowers shall deliver or cause to be delivered any other customary documents (including, without limitation, legal opinions and such deliverables set forth in </w:t>
      </w:r>
      <w:r>
        <w:rPr>
          <w:rFonts w:ascii="Times New Roman;Times;Serif" w:hAnsi="Times New Roman;Times;Serif"/>
          <w:b w:val="false"/>
          <w:i w:val="false"/>
          <w:caps w:val="false"/>
          <w:smallCaps w:val="false"/>
          <w:sz w:val="20"/>
          <w:u w:val="single"/>
        </w:rPr>
        <w:t>Section 4.01(j)</w:t>
      </w:r>
      <w:r>
        <w:rPr>
          <w:rFonts w:ascii="Times New Roman;Times;Serif" w:hAnsi="Times New Roman;Times;Serif"/>
          <w:b w:val="false"/>
          <w:i w:val="false"/>
          <w:caps w:val="false"/>
          <w:smallCaps w:val="false"/>
          <w:sz w:val="20"/>
        </w:rPr>
        <w:t>) as reasonably requested by the Administrative Agent in connection with any Incremental Facility. The applicable Borrowers shall prepay any Revolving Loans outstanding on the Revolving Increase Effective Date (and pay any additional amounts required pursuant to Section 3.05) to the extent necessary to keep the outstanding Revolving Loans ratable with any revised Applicable Percentages arising from any nonratable increase in the Revolving Commitments under this Section.</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(f)</w:t>
            </w:r>
          </w:p>
        </w:tc>
        <w:tc>
          <w:tcPr>
            <w:tcW w:w="9926" w:type="dxa"/>
            <w:tcBorders/>
            <w:vAlign w:val="center"/>
          </w:tcPr>
          <w:p>
            <w:pPr>
              <w:pStyle w:val="TableContents"/>
              <w:bidi w:val="0"/>
              <w:spacing w:before="0" w:after="283"/>
              <w:jc w:val="left"/>
              <w:rPr/>
            </w:pPr>
            <w:r>
              <w:rPr>
                <w:u w:val="single"/>
              </w:rPr>
              <w:t>Conflicting Provisions</w:t>
            </w:r>
            <w:r>
              <w:rPr/>
              <w:t>. This Section shall supersede any provisions in Section 2.13 or 11.01 to the contrary.</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(g)</w:t>
            </w:r>
          </w:p>
        </w:tc>
        <w:tc>
          <w:tcPr>
            <w:tcW w:w="9943" w:type="dxa"/>
            <w:tcBorders/>
            <w:vAlign w:val="center"/>
          </w:tcPr>
          <w:p>
            <w:pPr>
              <w:pStyle w:val="TableContents"/>
              <w:bidi w:val="0"/>
              <w:spacing w:before="0" w:after="283"/>
              <w:jc w:val="left"/>
              <w:rPr/>
            </w:pPr>
            <w:r>
              <w:rPr>
                <w:u w:val="single"/>
              </w:rPr>
              <w:t>Incremental Facility</w:t>
            </w:r>
            <w:r>
              <w:rPr/>
              <w:t>. Except as otherwise specifically set forth herein, all of the other terms and conditions applicable to such Incremental Facility shall be identical to the terms and conditions applicable to the Revolving Facility (other than with respect to any upfront fees payable in respect thereof, if applicable); it being understood that the Applicable Margin applicable to the then existing Lenders in respect of their Revolving Commitments may be increased without the consent of any Lender in connection with the incurrence of any such additional Revolving Commitments or increases in Revolving Commitments under the Incremental Facility.</w:t>
            </w:r>
          </w:p>
        </w:tc>
      </w:tr>
    </w:tbl>
    <w:tbl>
      <w:tblPr>
        <w:tblW w:w="5000" w:type="pct"/>
        <w:jc w:val="left"/>
        <w:tblInd w:w="0" w:type="dxa"/>
        <w:tblLayout w:type="fixed"/>
        <w:tblCellMar>
          <w:top w:w="0" w:type="dxa"/>
          <w:left w:w="0" w:type="dxa"/>
          <w:bottom w:w="0" w:type="dxa"/>
          <w:right w:w="0" w:type="dxa"/>
        </w:tblCellMar>
      </w:tblPr>
      <w:tblGrid>
        <w:gridCol w:w="87"/>
        <w:gridCol w:w="1286"/>
        <w:gridCol w:w="8832"/>
      </w:tblGrid>
      <w:tr>
        <w:trPr/>
        <w:tc>
          <w:tcPr>
            <w:tcW w:w="8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pPr>
            <w:r>
              <w:rPr/>
              <w:t>49.03</w:t>
            </w:r>
          </w:p>
        </w:tc>
        <w:tc>
          <w:tcPr>
            <w:tcW w:w="8832" w:type="dxa"/>
            <w:tcBorders/>
            <w:vAlign w:val="center"/>
          </w:tcPr>
          <w:p>
            <w:pPr>
              <w:pStyle w:val="TableContents"/>
              <w:bidi w:val="0"/>
              <w:spacing w:before="0" w:after="283"/>
              <w:jc w:val="left"/>
              <w:rPr/>
            </w:pPr>
            <w:r>
              <w:rPr>
                <w:rFonts w:ascii="Times New Roman;Times;Serif" w:hAnsi="Times New Roman;Times;Serif"/>
                <w:b/>
                <w:sz w:val="20"/>
                <w:u w:val="single"/>
              </w:rPr>
              <w:t>Joint and Several Liability of the Borrowers</w:t>
            </w:r>
            <w:r>
              <w:rPr/>
              <w:t>.</w:t>
            </w:r>
          </w:p>
        </w:tc>
      </w:tr>
    </w:tbl>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t>Each of the Domestic Borrowers is accepting joint and several liability for the Obligations of all of the Borrowers hereunder and under the other Loan Documents in consideration of the financial accommodations to be provided by the Administrative Agent and the Lenders under this Agreement, for the mutual benefit, directly and indirectly, of each of the Borrowers and in consideration of the undertakings of each other Domestic Borrower to accept joint and several liability for the Obligations. Each of the Foreign Borrowers is accepting joint and several liability (unless such joint and several liability (i) shall result in adverse tax consequences to any such Foreign Borrower or (ii) is not permitted by any Law applicable to such Foreign Borrower, in which either such case,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liability of such Foreign Borrower shall be several in nature) for the Obligations of all of the Foreign Borrowers hereunder and under the other Loan Documents in consideration of the financial accommodations to be provided by the Administrative Agent and the Lenders under this Agreement, for the mutual benefit, directly and indirectly, of each of the Foreign Borrowers and in consideration of the undertakings of each other Foreign Borrower to accept joint and several liability for the Obligations of the other Foreign Borrowers. Notwithstanding anything contained to the contrary in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in any Loan Document, no Foreign Borrower shall be obligated or have any liability with respect to any Obligations or Secured Obligations of the Domestic Borrowers or of any Domestic Subsidiary, (B) no Foreign Borrower shall be obligated as a Guarantor under Article X with respect to the Obligations or Secured Obligations of the Domestic Borrowers or any Domestic Subsidiary and (C) no payment received from or in respect of any Foreign Borrower shall be applied to the Obligations of any Domestic Borrower or Domestic Subsidiary.</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left"/>
              <w:rPr/>
            </w:pPr>
            <w:r>
              <w:rPr/>
              <w:t xml:space="preserve">Each of the Borrowers, jointly and severally to the extent and subject to the limitations provided in </w:t>
            </w:r>
            <w:r>
              <w:rPr>
                <w:u w:val="single"/>
              </w:rPr>
              <w:t>Section 2.17(a)</w:t>
            </w:r>
            <w:r>
              <w:rPr/>
              <w:t xml:space="preserve">, hereby irrevocably and unconditionally accepts, not merely as a surety but also as a co-debtor, joint and several liability with the other Borrowers with respect to the payment and performance of all of the Obligations of the Borrowers (including, without limitation, any Obligations arising under this </w:t>
            </w:r>
            <w:r>
              <w:rPr>
                <w:u w:val="single"/>
              </w:rPr>
              <w:t>Section 2.17</w:t>
            </w:r>
            <w:r>
              <w:rPr/>
              <w:t xml:space="preserve">) to the extent and subject to the limitations provided in </w:t>
            </w:r>
            <w:r>
              <w:rPr>
                <w:u w:val="single"/>
              </w:rPr>
              <w:t>Section 2.17(a)</w:t>
            </w:r>
            <w:r>
              <w:rPr/>
              <w:t xml:space="preserve">, it being the intention of the parties hereto that all of the Obligations shall be the joint and several obligations of each of the applicable Borrowers without preferences or distinction among them. Where reference is made to the “applicable Borrower” or the “applicable Borrowers” with respect to any Obligations, it shall refer to the Borrowers that have joint and several liability for such Obligations in accordance with this </w:t>
            </w:r>
            <w:r>
              <w:rPr>
                <w:u w:val="single"/>
              </w:rPr>
              <w:t>Section 2.17</w:t>
            </w:r>
            <w:r>
              <w:rPr/>
              <w:t xml:space="preserve"> with (and including) the Borrower that borrowed the underlying Loan or requested the underlying Letter of Credit giving rise to such Obligations.</w:t>
            </w:r>
          </w:p>
        </w:tc>
      </w:tr>
    </w:tbl>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left"/>
              <w:rPr/>
            </w:pPr>
            <w:r>
              <w:rPr/>
              <w:t xml:space="preserve">Subject to the limitations set forth in </w:t>
            </w:r>
            <w:r>
              <w:rPr>
                <w:u w:val="single"/>
              </w:rPr>
              <w:t>Section 2.17(a)</w:t>
            </w:r>
            <w:r>
              <w:rPr/>
              <w:t>, if and to the extent that any of the Borrowers shall fail to make any payment with respect to any of the Obligations as and when due or to perform any of the Obligations in accordance with the terms thereof, then in each such event the other Borrowers having joint and several liability therefor will make such payment with respect to, or perform, such Obligation.</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left"/>
              <w:rPr/>
            </w:pPr>
            <w:r>
              <w:rPr/>
              <w:t xml:space="preserve">The Obligations of each of the Borrowers under the provisions of this </w:t>
            </w:r>
            <w:r>
              <w:rPr>
                <w:u w:val="single"/>
              </w:rPr>
              <w:t>Section 2.17</w:t>
            </w:r>
            <w:r>
              <w:rPr/>
              <w:t xml:space="preserve"> constitute full recourse obligations of such Borrower enforceable against such Borrower to the full extent of its properties and assets.</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(e)</w:t>
            </w:r>
          </w:p>
        </w:tc>
        <w:tc>
          <w:tcPr>
            <w:tcW w:w="9965" w:type="dxa"/>
            <w:tcBorders/>
            <w:vAlign w:val="center"/>
          </w:tcPr>
          <w:p>
            <w:pPr>
              <w:pStyle w:val="TableContents"/>
              <w:bidi w:val="0"/>
              <w:spacing w:before="0" w:after="283"/>
              <w:jc w:val="left"/>
              <w:rPr/>
            </w:pPr>
            <w:r>
              <w:rPr/>
              <w:t xml:space="preserve">Except as otherwise expressly provided in this Agreement, each of the Borrowers, to the fullest extent permitted by applicable law, hereby waives notice of acceptance of its joint and several liability, notice of any Loans or other extensions of credit made under this Agreement, notice of any action at any time taken or omitted by the Administrative Agent or the Lenders under or in respect of any of the Obligations, and, generally, to the extent permitted by applicable law, all demands, notices (other than those required pursuant to the terms of this Agreement or the Loan Documents) and other formalities of every kind in connection with this Agreement.  Each Borrower, to the fullest extent permitted by applicable law, hereby waives all defenses which may be available by virtue of any valuation, stay, moratorium law or other similar law now or hereafter in effect, any right to require the marshaling of assets of the Borrowers and any other entity or Person primarily or secondarily liable with respect to any of the Obligations and all suretyship defenses generally.  Each of the Borrowers, to the fullest extent permitted by applicable law,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Lenders at any time or times in respect of any default by any of the Borrowers in the performance or satisfaction of any term, covenant, condition or provision of this Agreement, any and all other indulgences whatsoever by the Lenders in respect of any of the Obligations, and the taking, addition, substitution or release, in whole or in part, at any time or times, of any security for any of the Obligations or the addition, substitution or release, in whole or in part, of any of the Borrowers.  Without limiting the generality of the foregoing, each of the Borrowers assents to any other action or delay in acting or failure to act on the part of the Lenders with respect to the failure by any of the Borrowers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u w:val="single"/>
              </w:rPr>
              <w:t>Section 2.17</w:t>
            </w:r>
            <w:r>
              <w:rPr/>
              <w:t xml:space="preserve">, afford grounds for terminating, discharging or relieving any Borrower, in whole or in part, from any of its Obligations under this </w:t>
            </w:r>
            <w:r>
              <w:rPr>
                <w:u w:val="single"/>
              </w:rPr>
              <w:t>Section 2.17</w:t>
            </w:r>
            <w:r>
              <w:rPr/>
              <w:t xml:space="preserve">, it being the intention of each of the Borrowers that, so long as any of the Obligations hereunder remain unsatisfied, the Obligations of such the Borrowers under this </w:t>
            </w:r>
            <w:r>
              <w:rPr>
                <w:u w:val="single"/>
              </w:rPr>
              <w:t>Section 2.17</w:t>
            </w:r>
            <w:r>
              <w:rPr/>
              <w:t xml:space="preserve"> shall not be discharged except by performance and then only to the extent of such performance.  The Obligations of each of the Borrowers under this </w:t>
            </w:r>
            <w:r>
              <w:rPr>
                <w:u w:val="single"/>
              </w:rPr>
              <w:t>Section 2.17</w:t>
            </w:r>
            <w:r>
              <w:rPr/>
              <w:t xml:space="preserve"> shall not be diminished or rendered unenforceable by any winding up, reorganization, arrangement, liquidation, re-construction or similar proceeding with respect to any of the Borrowers, the Administrative Agent or the Lenders.  The joint and several liability of the Borrowers hereunder as set forth in this </w:t>
            </w:r>
            <w:r>
              <w:rPr>
                <w:u w:val="single"/>
              </w:rPr>
              <w:t>Section 2.17</w:t>
            </w:r>
            <w:r>
              <w:rPr/>
              <w:t xml:space="preserve"> shall continue in full force and effect notwithstanding any absorption,</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amalgamation or any other change whatsoever in the name, membership, constitution or place of formation of any of the Borrowers, the Administrative Agent or the Lenders.</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(f)</w:t>
            </w:r>
          </w:p>
        </w:tc>
        <w:tc>
          <w:tcPr>
            <w:tcW w:w="9992" w:type="dxa"/>
            <w:tcBorders/>
            <w:vAlign w:val="center"/>
          </w:tcPr>
          <w:p>
            <w:pPr>
              <w:pStyle w:val="TableContents"/>
              <w:bidi w:val="0"/>
              <w:spacing w:before="0" w:after="283"/>
              <w:jc w:val="left"/>
              <w:rPr/>
            </w:pPr>
            <w:r>
              <w:rPr/>
              <w:t xml:space="preserve">Each of the Borrowers hereby agrees that the payment of any amounts due with respect to the indebtedness owing by any Borrower to any other Borrower is hereby subordinated to the prior payment in full in cash of the Obligations.  Each Borrower hereby agrees that after the occurrence and during the continuance of any Event of Default, upon the written request of the Administrative Agent, such Borrower will not demand, sue for or otherwise attempt to collect any indebtedness of any other Borrower owing to such Borrower until the Facility Termination Date shall have occurred.  If, notwithstanding the foregoing sentence, such Borrower shall collect, enforce or receive any amounts in respect of such indebtedness before the Facility Termination Date occurs, such amounts shall be collected, enforced, received by such Borrower as trustee for the Administrative Agent and be paid over to the Administrative Agent for the </w:t>
            </w:r>
            <w:r>
              <w:rPr>
                <w:i/>
              </w:rPr>
              <w:t>pro rata</w:t>
            </w:r>
            <w:r>
              <w:rPr/>
              <w:t xml:space="preserve"> accounts of the Lenders (in accordance with each such Lender’s Applicable Percentage) to be applied to repay (or be held as security for the repayment of) the Obligations.</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(g)</w:t>
            </w:r>
          </w:p>
        </w:tc>
        <w:tc>
          <w:tcPr>
            <w:tcW w:w="9949" w:type="dxa"/>
            <w:tcBorders/>
            <w:vAlign w:val="center"/>
          </w:tcPr>
          <w:p>
            <w:pPr>
              <w:pStyle w:val="TableContents"/>
              <w:bidi w:val="0"/>
              <w:spacing w:before="0" w:after="283"/>
              <w:jc w:val="left"/>
              <w:rPr/>
            </w:pPr>
            <w:r>
              <w:rPr/>
              <w:t xml:space="preserve">The provisions of this </w:t>
            </w:r>
            <w:r>
              <w:rPr>
                <w:u w:val="single"/>
              </w:rPr>
              <w:t>Section 2.17</w:t>
            </w:r>
            <w:r>
              <w:rPr/>
              <w:t xml:space="preserve"> are made for the benefit of the Administrative Agent and the Lenders and their successors and assigns, and may be enforced in good faith by them from time to time against any or all of the applicable Borrowers as often as the occasion therefor may arise and without requirement on the part of the Administrative Agent or the Lenders first to marshal any of their claims or to exercise any of their rights against any other Borrower or to exhaust any remedies available to them against any other Borrower or to resort to any other source or means of obtaining payment of any of the Obligations hereunder or to elect any other remedy.  The provisions of this </w:t>
            </w:r>
            <w:r>
              <w:rPr>
                <w:u w:val="single"/>
              </w:rPr>
              <w:t>Section 2.17</w:t>
            </w:r>
            <w:r>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the Administrative Agent or the Lenders upon the insolvency, bankruptcy or reorganization of any of the Borrowers or is repaid in good faith settlement of a pending or threatened avoidance claim, or otherwise, the provisions of this </w:t>
            </w:r>
            <w:r>
              <w:rPr>
                <w:u w:val="single"/>
              </w:rPr>
              <w:t>Section 2.17</w:t>
            </w:r>
            <w:r>
              <w:rPr/>
              <w:t xml:space="preserve"> will forthwith be reinstated in effect, as though such payment had not been made. The Borrowers hereby agree among themselves that, in connection with any payments made hereunder, each Borrower shall have contribution rights against the other Borrowers as permitted under applicable Law.</w:t>
            </w:r>
          </w:p>
        </w:tc>
      </w:tr>
    </w:tbl>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(h)</w:t>
            </w:r>
          </w:p>
        </w:tc>
        <w:tc>
          <w:tcPr>
            <w:tcW w:w="9927" w:type="dxa"/>
            <w:tcBorders/>
            <w:vAlign w:val="center"/>
          </w:tcPr>
          <w:p>
            <w:pPr>
              <w:pStyle w:val="TableContents"/>
              <w:bidi w:val="0"/>
              <w:spacing w:before="0" w:after="283"/>
              <w:jc w:val="left"/>
              <w:rPr/>
            </w:pPr>
            <w:r>
              <w:rPr/>
              <w:t xml:space="preserve">Subject to </w:t>
            </w:r>
            <w:r>
              <w:rPr>
                <w:u w:val="single"/>
              </w:rPr>
              <w:t>Section 2.17(a)</w:t>
            </w:r>
            <w:r>
              <w:rPr/>
              <w:t>, it is the intention and agreement of each Borrower and the Lenders that the obligations of any Borrower under this Agreement shall be valid and enforceable against such Borrower to the maximum extent permitted by applicable law.  Accordingly, if any</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of this Agreement creating any obligation of any Borrower in favor of the Administrative Agent and the Lenders shall be declared to be invalid or unenforceable in any respect or to any extent, it is the stated intention and agreement of each Borrower, the Administrative Agent and the Lenders that any balance of the obligation created by such provision and all other obligations of such Borrower and any other Borrower to the Administrative Agent and the Lenders created by other provisions of this Agreement shall remain valid and enforceable.  Likewise, if by final order a court of competent jurisdiction shall declare any sums which the Administrative Agent and the Lenders may be otherwise entitled to collect from any Borrower under this Agreement to be in excess of those permitted under any law (including any federal or state fraudulent conveyance or like statute or rule of law) applicable to such Borrower’s obligations under this Agreement, it is the stated intention and agreement of each Borrower and the Administrative Agent and the Lenders that all sums not in excess of those permitted under such applicable law shall remain fully collectible by the Administrative Agent and the Lenders from the applicable Borrowers.</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left"/>
              <w:rPr/>
            </w:pPr>
            <w:r>
              <w:rPr/>
              <w:t xml:space="preserve">Notwithstanding anything contained herein, the obligations of each Borrower under this </w:t>
            </w:r>
            <w:r>
              <w:rPr>
                <w:u w:val="single"/>
              </w:rPr>
              <w:t>Section 2.17</w:t>
            </w:r>
            <w:r>
              <w:rPr/>
              <w:t xml:space="preserve"> at any time shall be limited to an aggregate amount equal to the largest amount that would not render its obligations hereunder subject to avoidance as a fraudulent transfer or conveyance under Section 548 of the Bankruptcy Code or any other Debtor Relief Laws.</w:t>
            </w:r>
          </w:p>
        </w:tc>
      </w:tr>
    </w:tbl>
    <w:tbl>
      <w:tblPr>
        <w:tblW w:w="5000" w:type="pct"/>
        <w:jc w:val="left"/>
        <w:tblInd w:w="0" w:type="dxa"/>
        <w:tblLayout w:type="fixed"/>
        <w:tblCellMar>
          <w:top w:w="0" w:type="dxa"/>
          <w:left w:w="0" w:type="dxa"/>
          <w:bottom w:w="0" w:type="dxa"/>
          <w:right w:w="0" w:type="dxa"/>
        </w:tblCellMar>
      </w:tblPr>
      <w:tblGrid>
        <w:gridCol w:w="150"/>
        <w:gridCol w:w="2212"/>
        <w:gridCol w:w="7843"/>
      </w:tblGrid>
      <w:tr>
        <w:trPr/>
        <w:tc>
          <w:tcPr>
            <w:tcW w:w="15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pPr>
            <w:r>
              <w:rPr/>
              <w:t>49.04</w:t>
            </w:r>
          </w:p>
        </w:tc>
        <w:tc>
          <w:tcPr>
            <w:tcW w:w="7843" w:type="dxa"/>
            <w:tcBorders/>
            <w:vAlign w:val="center"/>
          </w:tcPr>
          <w:p>
            <w:pPr>
              <w:pStyle w:val="TableContents"/>
              <w:bidi w:val="0"/>
              <w:spacing w:before="0" w:after="283"/>
              <w:jc w:val="left"/>
              <w:rPr/>
            </w:pPr>
            <w:r>
              <w:rPr>
                <w:rFonts w:ascii="Times New Roman;Times;Serif" w:hAnsi="Times New Roman;Times;Serif"/>
                <w:b/>
                <w:sz w:val="20"/>
                <w:u w:val="single"/>
              </w:rPr>
              <w:t>Designated Borrowers</w:t>
            </w:r>
            <w:r>
              <w:rPr/>
              <w:t>.</w:t>
            </w:r>
          </w:p>
        </w:tc>
      </w:tr>
    </w:tbl>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u w:val="single"/>
              </w:rPr>
              <w:t>Designated Borrowers</w:t>
            </w:r>
            <w:r>
              <w:rPr/>
              <w:t>. The Borrowers may at any time, upon not less than fifteen (15) Business Days’ notice from the Borrowers to the Administrative Agent (or such shorter period as may be agreed by the Administrative Agent in its sole discretion), request to designate any additional Subsidiary of the Parent (an “</w:t>
            </w:r>
            <w:r>
              <w:rPr>
                <w:u w:val="single"/>
              </w:rPr>
              <w:t>Applicant Borrower</w:t>
            </w:r>
            <w:r>
              <w:rPr/>
              <w:t xml:space="preserve">”) as a Designated Borrower to receive Loans hereunder by delivering to the Administrative Agent (which shall promptly deliver counterparts thereof to each Lender) a duly executed notice and agreement in substantially the form of </w:t>
            </w:r>
            <w:r>
              <w:rPr>
                <w:u w:val="single"/>
              </w:rPr>
              <w:t>Exhibit Q</w:t>
            </w:r>
            <w:r>
              <w:rPr/>
              <w:t xml:space="preserve"> (a “</w:t>
            </w:r>
            <w:r>
              <w:rPr>
                <w:u w:val="single"/>
              </w:rPr>
              <w:t>Designated Borrower Request and Assumption Agreement</w:t>
            </w:r>
            <w:r>
              <w:rPr/>
              <w:t>”). The parties hereto acknowledge and agree that prior to any Applicant Borrower becoming entitled to utilize the credit facilities provided for herein (i) the Administrative Agent and the Lenders that are to provide Revolving Commitments and/or Loans in favor of an Applicant Borrower must each agree to such Applicant Borrower becoming a Designated Borrower and (ii) the Administrative Agent and such Lenders shall have received such supporting resolutions, incumbency certificates, opinions of counsel and other documents or information, in form, content and scope reasonably satisfactory to the Administrative Agent, as may be required by the Administrative Agent or the Lenders in their sole</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 and Notes signed by such new Borrowers to the extent any Lender so requires (the requirements in clauses (i) and (ii) hereof, the “</w:t>
      </w:r>
      <w:r>
        <w:rPr>
          <w:rFonts w:ascii="Times New Roman;Times;Serif" w:hAnsi="Times New Roman;Times;Serif"/>
          <w:b w:val="false"/>
          <w:i w:val="false"/>
          <w:caps w:val="false"/>
          <w:smallCaps w:val="false"/>
          <w:sz w:val="20"/>
          <w:u w:val="single"/>
        </w:rPr>
        <w:t>Designated Borrower Requirements</w:t>
      </w:r>
      <w:r>
        <w:rPr>
          <w:rFonts w:ascii="Times New Roman;Times;Serif" w:hAnsi="Times New Roman;Times;Serif"/>
          <w:b w:val="false"/>
          <w:i w:val="false"/>
          <w:caps w:val="false"/>
          <w:smallCaps w:val="false"/>
          <w:sz w:val="20"/>
        </w:rPr>
        <w:t xml:space="preserve">”). If the Administrative Agent and all Lenders agree that an Applicant Borrower shall be entitled to receive Loans hereunder, then promptly following satisfaction of the Designated Borrower Requirements, the Administrative Agent shall send a notice (to be countersigned by the Lenders) in substantially the form of </w:t>
      </w:r>
      <w:r>
        <w:rPr>
          <w:rFonts w:ascii="Times New Roman;Times;Serif" w:hAnsi="Times New Roman;Times;Serif"/>
          <w:b w:val="false"/>
          <w:i w:val="false"/>
          <w:caps w:val="false"/>
          <w:smallCaps w:val="false"/>
          <w:sz w:val="20"/>
          <w:u w:val="single"/>
        </w:rPr>
        <w:t>Exhibit R</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Designated Borrower Notice</w:t>
      </w:r>
      <w:r>
        <w:rPr>
          <w:rFonts w:ascii="Times New Roman;Times;Serif" w:hAnsi="Times New Roman;Times;Serif"/>
          <w:b w:val="false"/>
          <w:i w:val="false"/>
          <w:caps w:val="false"/>
          <w:smallCaps w:val="false"/>
          <w:sz w:val="20"/>
        </w:rPr>
        <w:t xml:space="preserve">”) to the Parent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Borrower for all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Loan Notice or Letter of Credit Application may be submitted by or on behalf of such Designated Borrower until the date five (5) Business Days after such effective date.</w:t>
      </w:r>
    </w:p>
    <w:tbl>
      <w:tblPr>
        <w:tblW w:w="5000" w:type="pct"/>
        <w:jc w:val="left"/>
        <w:tblInd w:w="0" w:type="dxa"/>
        <w:tblLayout w:type="fixed"/>
        <w:tblCellMar>
          <w:top w:w="0" w:type="dxa"/>
          <w:left w:w="0" w:type="dxa"/>
          <w:bottom w:w="0" w:type="dxa"/>
          <w:right w:w="0" w:type="dxa"/>
        </w:tblCellMar>
      </w:tblPr>
      <w:tblGrid>
        <w:gridCol w:w="265"/>
        <w:gridCol w:w="2030"/>
        <w:gridCol w:w="7910"/>
      </w:tblGrid>
      <w:tr>
        <w:trPr/>
        <w:tc>
          <w:tcPr>
            <w:tcW w:w="26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pPr>
            <w:r>
              <w:rPr/>
              <w:t>(b)</w:t>
            </w:r>
          </w:p>
        </w:tc>
        <w:tc>
          <w:tcPr>
            <w:tcW w:w="7910" w:type="dxa"/>
            <w:tcBorders/>
            <w:vAlign w:val="center"/>
          </w:tcPr>
          <w:p>
            <w:pPr>
              <w:pStyle w:val="TableContents"/>
              <w:bidi w:val="0"/>
              <w:spacing w:before="0" w:after="283"/>
              <w:jc w:val="left"/>
              <w:rPr/>
            </w:pPr>
            <w:r>
              <w:rPr/>
              <w:t>[</w:t>
            </w:r>
            <w:r>
              <w:rPr>
                <w:u w:val="single"/>
              </w:rPr>
              <w:t>Reserved</w:t>
            </w:r>
            <w:r>
              <w:rPr/>
              <w:t>].</w:t>
            </w:r>
          </w:p>
        </w:tc>
      </w:tr>
    </w:tbl>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left"/>
              <w:rPr/>
            </w:pPr>
            <w:r>
              <w:rPr>
                <w:u w:val="single"/>
              </w:rPr>
              <w:t>Appointment</w:t>
            </w:r>
            <w:r>
              <w:rPr/>
              <w:t xml:space="preserve">. Each Subsidiary of the Parent that is or becomes a “Designated Borrower” pursuant to this </w:t>
            </w:r>
            <w:r>
              <w:rPr>
                <w:u w:val="single"/>
              </w:rPr>
              <w:t>Section 2.18</w:t>
            </w:r>
            <w:r>
              <w:rPr/>
              <w:t xml:space="preserve"> hereby irrevocably appoints the Parent to act as its agent for all purposes of this Agreement and the other Loan Documents and agrees that (i) the Parent may execute such documents on behalf of such Designated Borrower as the Parent deems appropriate in its sole discretion and each Designated Borrower shall be obligated by all of the terms of any such document executed on its behalf, (ii) any notice or communication delivered by the Administrative Agent or the Lender to the Parent shall be deemed delivered to each Designated Borrower and (iii) the Administrative Agent or the Lenders may accept, and be permitted to rely on, any document, instrument or agreement executed by the Parent on behalf of each of the Loan Parties.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49.05      </w:t>
      </w:r>
      <w:r>
        <w:rPr>
          <w:rFonts w:ascii="Times New Roman;Times;Serif" w:hAnsi="Times New Roman;Times;Serif"/>
          <w:b/>
          <w:i w:val="false"/>
          <w:caps w:val="false"/>
          <w:smallCaps w:val="false"/>
          <w:sz w:val="20"/>
          <w:u w:val="single"/>
        </w:rPr>
        <w:t>Designated Lenders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Administrative Agent, the L/C Issuer, the Swingline Lender and each Lender at its option may make any Credit Extension or otherwise perform its obligations hereunder through any Lending Office (each, a “</w:t>
      </w:r>
      <w:r>
        <w:rPr>
          <w:rFonts w:ascii="Times New Roman;Times;Serif" w:hAnsi="Times New Roman;Times;Serif"/>
          <w:b w:val="false"/>
          <w:i w:val="false"/>
          <w:caps w:val="false"/>
          <w:smallCaps w:val="false"/>
          <w:sz w:val="20"/>
          <w:u w:val="single"/>
        </w:rPr>
        <w:t>Designated Lender</w:t>
      </w:r>
      <w:r>
        <w:rPr>
          <w:rFonts w:ascii="Times New Roman;Times;Serif" w:hAnsi="Times New Roman;Times;Serif"/>
          <w:b w:val="false"/>
          <w:i w:val="false"/>
          <w:caps w:val="false"/>
          <w:smallCaps w:val="false"/>
          <w:sz w:val="20"/>
        </w:rPr>
        <w:t>”); provided that any exercise of such option shall not affect the obligation of any Borrower to repay any Credit Extension in accordance with the terms of this Agreement. Any Designated Lender shall be considered a Lender; provided that in the case of an Affiliate or branch of a Lender, all provisions applicable to a Lender shall apply to such Affiliate or branch of such Lender to the same extent as such Lender; provided that for the purposes only of voting in connection with any Loan Document, any participation by any Designated Lender in any outstanding Credit Extension shall be deemed a participation of such Lender.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49.06      </w:t>
      </w:r>
      <w:r>
        <w:rPr>
          <w:rFonts w:ascii="Times New Roman;Times;Serif" w:hAnsi="Times New Roman;Times;Serif"/>
          <w:b/>
          <w:i w:val="false"/>
          <w:caps w:val="false"/>
          <w:smallCaps w:val="false"/>
          <w:sz w:val="20"/>
          <w:u w:val="single"/>
        </w:rPr>
        <w:t>Minimum Interest</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left"/>
              <w:rPr/>
            </w:pPr>
            <w:r>
              <w:rPr/>
              <w:t>When entering into this Agreement, the Parties have made the bona fide assumption that interest payable under this Agreement is not and will not become subject to Swiss Withholding Tax.</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left"/>
              <w:rPr/>
            </w:pPr>
            <w:r>
              <w:rPr/>
              <w:t>Notwithstanding paragraph (a) above, if any deduction or withholding is required by Swiss law, and should it be unlawful for the relevant Loan Party to comply with paragraph (a) of Section 3.01 for any reason where this would otherwise be required by the terms of Section 3.01 then:</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 </w:t>
      </w:r>
      <w:r>
        <w:rPr>
          <w:rFonts w:ascii="Times New Roman;Times;Serif" w:hAnsi="Times New Roman;Times;Serif"/>
          <w:b w:val="false"/>
          <w:i w:val="false"/>
          <w:caps w:val="false"/>
          <w:smallCaps w:val="false"/>
          <w:sz w:val="20"/>
        </w:rPr>
        <w:t>the applicable interest rate in relation to that interest payment shall be:</w:t>
      </w:r>
    </w:p>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left"/>
              <w:rPr/>
            </w:pPr>
            <w:r>
              <w:rPr/>
              <w:t>the interest rate which would have applied to that interest payment as provided for by Article II in the absence of this Section 2.20 divided by;</w:t>
            </w:r>
          </w:p>
        </w:tc>
      </w:tr>
    </w:tbl>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left"/>
              <w:rPr/>
            </w:pPr>
            <w:r>
              <w:rPr/>
              <w:t>1 (one) minus the rate at which the relevant deduction or withholding of Swiss Withholding Tax is required to be made (where the rate at which the relevant tax deduction is required to be made is for this purpose expressed as a fraction of 1 rather than as a percentage); and</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LI </w:t>
      </w:r>
      <w:r>
        <w:rPr>
          <w:rFonts w:ascii="Times New Roman;Times;Serif" w:hAnsi="Times New Roman;Times;Serif"/>
          <w:b w:val="false"/>
          <w:i w:val="false"/>
          <w:caps w:val="false"/>
          <w:smallCaps w:val="false"/>
          <w:sz w:val="20"/>
        </w:rPr>
        <w:t>that Loan Party shall:</w:t>
      </w:r>
    </w:p>
    <w:tbl>
      <w:tblPr>
        <w:tblW w:w="5000" w:type="pct"/>
        <w:jc w:val="left"/>
        <w:tblInd w:w="0" w:type="dxa"/>
        <w:tblLayout w:type="fixed"/>
        <w:tblCellMar>
          <w:top w:w="0" w:type="dxa"/>
          <w:left w:w="0" w:type="dxa"/>
          <w:bottom w:w="0" w:type="dxa"/>
          <w:right w:w="0" w:type="dxa"/>
        </w:tblCellMar>
      </w:tblPr>
      <w:tblGrid>
        <w:gridCol w:w="44"/>
        <w:gridCol w:w="408"/>
        <w:gridCol w:w="9753"/>
      </w:tblGrid>
      <w:tr>
        <w:trPr/>
        <w:tc>
          <w:tcPr>
            <w:tcW w:w="4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(A)</w:t>
            </w:r>
          </w:p>
        </w:tc>
        <w:tc>
          <w:tcPr>
            <w:tcW w:w="9753" w:type="dxa"/>
            <w:tcBorders/>
            <w:vAlign w:val="center"/>
          </w:tcPr>
          <w:p>
            <w:pPr>
              <w:pStyle w:val="TableContents"/>
              <w:bidi w:val="0"/>
              <w:spacing w:before="0" w:after="283"/>
              <w:jc w:val="left"/>
              <w:rPr/>
            </w:pPr>
            <w:r>
              <w:rPr/>
              <w:t>pay the relevant interest at the adjusted rate in accordance with paragraph (b) above; and</w:t>
            </w:r>
          </w:p>
        </w:tc>
      </w:tr>
    </w:tbl>
    <w:tbl>
      <w:tblPr>
        <w:tblW w:w="5000" w:type="pct"/>
        <w:jc w:val="left"/>
        <w:tblInd w:w="0" w:type="dxa"/>
        <w:tblLayout w:type="fixed"/>
        <w:tblCellMar>
          <w:top w:w="0" w:type="dxa"/>
          <w:left w:w="0" w:type="dxa"/>
          <w:bottom w:w="0" w:type="dxa"/>
          <w:right w:w="0" w:type="dxa"/>
        </w:tblCellMar>
      </w:tblPr>
      <w:tblGrid>
        <w:gridCol w:w="42"/>
        <w:gridCol w:w="373"/>
        <w:gridCol w:w="9790"/>
      </w:tblGrid>
      <w:tr>
        <w:trPr/>
        <w:tc>
          <w:tcPr>
            <w:tcW w:w="4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(B)</w:t>
            </w:r>
          </w:p>
        </w:tc>
        <w:tc>
          <w:tcPr>
            <w:tcW w:w="9790" w:type="dxa"/>
            <w:tcBorders/>
            <w:vAlign w:val="center"/>
          </w:tcPr>
          <w:p>
            <w:pPr>
              <w:pStyle w:val="TableContents"/>
              <w:bidi w:val="0"/>
              <w:spacing w:before="0" w:after="283"/>
              <w:jc w:val="left"/>
              <w:rPr/>
            </w:pPr>
            <w:r>
              <w:rPr/>
              <w:t>make the deduction or withholding of Swiss Withholding Tax on the interest so recalculated,</w:t>
            </w:r>
          </w:p>
        </w:tc>
      </w:tr>
    </w:tbl>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 references to a rate of interest under the Loan Documents shall be construed accordingly and apply to the deduction for Swiss Withholding Tax purposes on the recalculated interest payment.</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left"/>
              <w:rPr/>
            </w:pPr>
            <w:r>
              <w:rPr/>
              <w:t>To the extent that interest payable by a Loan Party under a Loan Document becomes subject to Swiss Withholding Tax, each relevant Lender and each relevant Loan Party shall promptly cooperate in completing any procedural formalities (including submitting forms and documents required by the appropriate tax authority) to the extent possible and necessary (i) for the relevant Loan Party to obtain authorization to make interest payments without them being subject to Swiss Withholding Tax and (ii) to ensure that any person which is entitled to a full or partial refund under any applicable double taxation treaty is so refunded.</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left"/>
              <w:rPr/>
            </w:pPr>
            <w:r>
              <w:rPr/>
              <w:t>The relevant Loan Party shall provide the Lenders with such documents and information required for applying for a refund of such Swiss Withholding Tax. In the event Swiss Withholding Tax is refunded to a Lender by the Swiss Federal Tax Administration, the relevant Lender shall forward, after deduction of costs, such amount to the relevant Loan Party,</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Event of Default has occurred and is continuing, in which case such amount shall be withheld until such Event of Default is cured or the Secured Obligations have been irrevocably paid in full.</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Article LII</w:t>
      </w:r>
    </w:p>
    <w:p>
      <w:pPr>
        <w:pStyle w:val="TextBody"/>
        <w:bidi w:val="0"/>
        <w:spacing w:before="0" w:after="0"/>
        <w:ind w:left="0" w:right="0" w:hanging="0"/>
        <w:jc w:val="left"/>
        <w:rPr>
          <w:caps/>
        </w:rPr>
      </w:pPr>
      <w:r>
        <w:rPr>
          <w:caps/>
        </w:rPr>
        <w:t> </w:t>
      </w:r>
    </w:p>
    <w:p>
      <w:pPr>
        <w:pStyle w:val="TextBody"/>
        <w:bidi w:val="0"/>
        <w:spacing w:before="0" w:after="240"/>
        <w:ind w:left="1440" w:right="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TAXES, YIELD PROTECTION AND ILLEGALITY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52.01     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u w:val="single"/>
              </w:rPr>
              <w:t>Payments Free of Taxes; Obligation to Withhold; Payments on Account of Taxes</w:t>
            </w:r>
            <w:r>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the applicable withholding agent, then the applicable withholding agent shall be entitled to make such deduction or withholding and shall timely pay the full amount deducted or withheld to the relevant Governmental Authority in accordance with applicable Laws and, to the extent that the withholding or deduction is made on account of Indemnified Taxes, the sum payable by the applicable Loan Party shall be increased as necessary so that after such deduction or withholding has been made (including such deductions and withholdings applicable to additional sums payable under this </w:t>
            </w:r>
            <w:r>
              <w:rPr>
                <w:u w:val="single"/>
              </w:rPr>
              <w:t>Section 3.01</w:t>
            </w:r>
            <w:r>
              <w:rPr/>
              <w:t>) the applicable Recipient receives an amount equal to the sum it would have received had no such deduction or withholding been made.</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left"/>
              <w:rPr/>
            </w:pPr>
            <w:r>
              <w:rPr>
                <w:u w:val="single"/>
              </w:rPr>
              <w:t>Payment of Other Taxes by the Loan Parties</w:t>
            </w:r>
            <w:r>
              <w:rPr/>
              <w:t>. Without limiting the provisions of subsection (a) above, the Loan Parties shall timely pay to the relevant Governmental Authority in accordance with applicable Law, or at the option of the Administrative Agent timely reimburse it for the payment of, any Other Taxes.</w:t>
            </w:r>
          </w:p>
        </w:tc>
      </w:tr>
    </w:tbl>
    <w:tbl>
      <w:tblPr>
        <w:tblW w:w="5000" w:type="pct"/>
        <w:jc w:val="left"/>
        <w:tblInd w:w="0" w:type="dxa"/>
        <w:tblLayout w:type="fixed"/>
        <w:tblCellMar>
          <w:top w:w="0" w:type="dxa"/>
          <w:left w:w="0" w:type="dxa"/>
          <w:bottom w:w="0" w:type="dxa"/>
          <w:right w:w="0" w:type="dxa"/>
        </w:tblCellMar>
      </w:tblPr>
      <w:tblGrid>
        <w:gridCol w:w="160"/>
        <w:gridCol w:w="1160"/>
        <w:gridCol w:w="8885"/>
      </w:tblGrid>
      <w:tr>
        <w:trPr/>
        <w:tc>
          <w:tcPr>
            <w:tcW w:w="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u w:val="single"/>
              </w:rPr>
              <w:t>Tax Indemnifications</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LIII </w:t>
      </w:r>
      <w:r>
        <w:rPr>
          <w:rFonts w:ascii="Times New Roman;Times;Serif" w:hAnsi="Times New Roman;Times;Serif"/>
          <w:b w:val="false"/>
          <w:i w:val="false"/>
          <w:caps w:val="false"/>
          <w:smallCaps w:val="false"/>
          <w:sz w:val="20"/>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Borrowers by a Lender or the L/C Issuer (with a copy to the Administrative Agent), or by the Administrative Agent on its own behalf or on behalf of a Lender or the L/C Issuer, shall be conclusive absent manifest error. Each of the Loan Parties shall also, and does hereby, jointly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severally indemnify the Administrative Agent, and shall make payment in respect thereof within ten (10) days after demand therefor, for any amount which a Lender or the L/C Issuer for any reason fails to pay indefeasibly to the Administrative Agent as required pursuant to </w:t>
      </w:r>
      <w:r>
        <w:rPr>
          <w:rFonts w:ascii="Times New Roman;Times;Serif" w:hAnsi="Times New Roman;Times;Serif"/>
          <w:b w:val="false"/>
          <w:i w:val="false"/>
          <w:caps w:val="false"/>
          <w:smallCaps w:val="false"/>
          <w:sz w:val="20"/>
          <w:u w:val="single"/>
        </w:rPr>
        <w:t>Section 3.01(c)(ii)</w:t>
      </w:r>
      <w:r>
        <w:rPr>
          <w:rFonts w:ascii="Times New Roman;Times;Serif" w:hAnsi="Times New Roman;Times;Serif"/>
          <w:b w:val="false"/>
          <w:i w:val="false"/>
          <w:caps w:val="false"/>
          <w:smallCaps w:val="false"/>
          <w:sz w:val="20"/>
        </w:rPr>
        <w:t xml:space="preserve"> below.</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LIV </w:t>
      </w:r>
      <w:r>
        <w:rPr>
          <w:rFonts w:ascii="Times New Roman;Times;Serif" w:hAnsi="Times New Roman;Times;Serif"/>
          <w:b w:val="false"/>
          <w:i w:val="false"/>
          <w:caps w:val="false"/>
          <w:smallCaps w:val="false"/>
          <w:sz w:val="20"/>
        </w:rPr>
        <w:t xml:space="preserve">Each Lender and the L/C Issuer shall, and does hereby, severally indemnify and shall make payment in respect thereof within ten (10) days after demand therefor, (A)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 xml:space="preserve"> relating to the maintenance of a Participant Register and (C)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left"/>
              <w:rPr/>
            </w:pPr>
            <w:r>
              <w:rPr>
                <w:u w:val="single"/>
              </w:rPr>
              <w:t>Evidence of Payments</w:t>
            </w:r>
            <w:r>
              <w:rPr/>
              <w:t xml:space="preserve">. As soon as practicable after any payment of Taxes by any Loan Party to a Governmental Authority, as provided in this </w:t>
            </w:r>
            <w:r>
              <w:rPr>
                <w:u w:val="single"/>
              </w:rPr>
              <w:t>Section 3.01</w:t>
            </w:r>
            <w:r>
              <w:rPr/>
              <w:t>, the Borrowers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tc>
      </w:tr>
    </w:tbl>
    <w:tbl>
      <w:tblPr>
        <w:tblW w:w="5000" w:type="pct"/>
        <w:jc w:val="left"/>
        <w:tblInd w:w="0" w:type="dxa"/>
        <w:tblLayout w:type="fixed"/>
        <w:tblCellMar>
          <w:top w:w="0" w:type="dxa"/>
          <w:left w:w="0" w:type="dxa"/>
          <w:bottom w:w="0" w:type="dxa"/>
          <w:right w:w="0" w:type="dxa"/>
        </w:tblCellMar>
      </w:tblPr>
      <w:tblGrid>
        <w:gridCol w:w="94"/>
        <w:gridCol w:w="725"/>
        <w:gridCol w:w="9386"/>
      </w:tblGrid>
      <w:tr>
        <w:trPr/>
        <w:tc>
          <w:tcPr>
            <w:tcW w:w="9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pPr>
            <w:r>
              <w:rPr/>
              <w:t>(b)</w:t>
            </w:r>
          </w:p>
        </w:tc>
        <w:tc>
          <w:tcPr>
            <w:tcW w:w="9386" w:type="dxa"/>
            <w:tcBorders/>
            <w:vAlign w:val="center"/>
          </w:tcPr>
          <w:p>
            <w:pPr>
              <w:pStyle w:val="TableContents"/>
              <w:bidi w:val="0"/>
              <w:spacing w:before="0" w:after="283"/>
              <w:jc w:val="left"/>
              <w:rPr/>
            </w:pPr>
            <w:r>
              <w:rPr>
                <w:u w:val="single"/>
              </w:rPr>
              <w:t>Status of Lenders; Tax Documentation</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LV </w:t>
      </w:r>
      <w:r>
        <w:rPr>
          <w:rFonts w:ascii="Times New Roman;Times;Serif" w:hAnsi="Times New Roman;Times;Serif"/>
          <w:b w:val="false"/>
          <w:i w:val="false"/>
          <w:caps w:val="false"/>
          <w:smallCaps w:val="false"/>
          <w:sz w:val="20"/>
        </w:rPr>
        <w:t>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3.01(e)(ii)(A), (ii)(B) and (ii)(D) below) shall not be required if in the Lender’s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LVI </w:t>
      </w:r>
      <w:r>
        <w:rPr>
          <w:rFonts w:ascii="Times New Roman;Times;Serif" w:hAnsi="Times New Roman;Times;Serif"/>
          <w:b w:val="false"/>
          <w:i w:val="false"/>
          <w:caps w:val="false"/>
          <w:smallCaps w:val="false"/>
          <w:sz w:val="20"/>
        </w:rPr>
        <w:t xml:space="preserve">Without limiting the generality of the foregoing, </w:t>
      </w:r>
      <w:r>
        <w:rPr>
          <w:rFonts w:ascii="Times New Roman;Times;Serif" w:hAnsi="Times New Roman;Times;Serif"/>
          <w:b w:val="false"/>
          <w:i w:val="false"/>
          <w:caps w:val="false"/>
          <w:smallCaps w:val="false"/>
          <w:strike/>
          <w:color w:val="FF0000"/>
          <w:sz w:val="20"/>
        </w:rPr>
        <w:t>in the event that any Borrower is a U.S. Person,</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283"/>
              <w:jc w:val="left"/>
              <w:rPr/>
            </w:pPr>
            <w:r>
              <w:rPr/>
              <w:t>any Lender that is a U.S. Person shall deliver to the applicable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tc>
      </w:tr>
    </w:tbl>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283"/>
              <w:jc w:val="left"/>
              <w:rPr/>
            </w:pPr>
            <w:r>
              <w:rPr/>
              <w:t>any Foreign Lender shall, to the extent it is legally entitled to do so, deliver to the applicable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283"/>
              <w:jc w:val="left"/>
              <w:rPr/>
            </w:pPr>
            <w:r>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tc>
      </w:tr>
    </w:tbl>
    <w:tbl>
      <w:tblPr>
        <w:tblW w:w="5000" w:type="pct"/>
        <w:jc w:val="left"/>
        <w:tblInd w:w="0" w:type="dxa"/>
        <w:tblLayout w:type="fixed"/>
        <w:tblCellMar>
          <w:top w:w="0" w:type="dxa"/>
          <w:left w:w="0" w:type="dxa"/>
          <w:bottom w:w="0" w:type="dxa"/>
          <w:right w:w="0" w:type="dxa"/>
        </w:tblCellMar>
      </w:tblPr>
      <w:tblGrid>
        <w:gridCol w:w="90"/>
        <w:gridCol w:w="695"/>
        <w:gridCol w:w="9420"/>
      </w:tblGrid>
      <w:tr>
        <w:trPr/>
        <w:tc>
          <w:tcPr>
            <w:tcW w:w="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pPr>
            <w:r>
              <w:rPr/>
              <w:t>(2)</w:t>
            </w:r>
          </w:p>
        </w:tc>
        <w:tc>
          <w:tcPr>
            <w:tcW w:w="9420" w:type="dxa"/>
            <w:tcBorders/>
            <w:vAlign w:val="center"/>
          </w:tcPr>
          <w:p>
            <w:pPr>
              <w:pStyle w:val="TableContents"/>
              <w:bidi w:val="0"/>
              <w:spacing w:before="0" w:after="283"/>
              <w:jc w:val="left"/>
              <w:rPr/>
            </w:pPr>
            <w:r>
              <w:rPr/>
              <w:t>executed originals of IRS Form W-8ECI;</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left"/>
              <w:rPr/>
            </w:pPr>
            <w:r>
              <w:rPr/>
              <w:t xml:space="preserve">in the case of a Foreign Lender claiming the benefits of the exemption for portfolio interest under Section 881(c) of the Code, (x) a certificate substantially in the form of </w:t>
            </w:r>
            <w:r>
              <w:rPr>
                <w:u w:val="single"/>
              </w:rPr>
              <w:t>Exhibit K-1</w:t>
            </w:r>
            <w:r>
              <w:rPr/>
              <w:t xml:space="preserve"> to the effect that such Foreign Lender is not a “bank” within the meaning of Section 881(c)(3)(A) of the Code, a “10 percent shareholder” of such Borrower within the meaning of Section 881(c)(3)(B) of the Code, or a “controlled foreign corporation” described in</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881(c)(3)(C) of the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executed copies of IRS Form W-8BEN-E (or W-8BEN, as applicable); or</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283"/>
              <w:jc w:val="left"/>
              <w:rPr/>
            </w:pPr>
            <w:r>
              <w:rPr/>
              <w:t xml:space="preserve">to the extent a Foreign Lender is not the beneficial owner, executed copies of IRS Form W-8IMY, accompanied by IRS Form W-8ECI, IRS Form W-8BEN-E (or W-8BEN, as applicable), a U.S. Tax Compliance Certificate substantially in the form of </w:t>
            </w:r>
            <w:r>
              <w:rPr>
                <w:u w:val="single"/>
              </w:rPr>
              <w:t>Exhibit K-2</w:t>
            </w:r>
            <w:r>
              <w:rPr/>
              <w:t xml:space="preserve"> or </w:t>
            </w:r>
            <w:r>
              <w:rPr>
                <w:u w:val="single"/>
              </w:rPr>
              <w:t>Exhibit K-3</w:t>
            </w:r>
            <w:r>
              <w:rPr/>
              <w:t xml:space="preserve">, IRS Form W-9, and/or other certification documents from each beneficial owner, as applicable; </w:t>
            </w:r>
            <w:r>
              <w:rPr>
                <w:u w:val="single"/>
              </w:rPr>
              <w:t>provided</w:t>
            </w:r>
            <w:r>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u w:val="single"/>
              </w:rPr>
              <w:t>Exhibit K-4</w:t>
            </w:r>
            <w:r>
              <w:rPr/>
              <w:t xml:space="preserve"> on behalf of each such direct and indirect partner;</w:t>
            </w:r>
          </w:p>
        </w:tc>
      </w:tr>
    </w:tbl>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283"/>
              <w:jc w:val="left"/>
              <w:rPr/>
            </w:pPr>
            <w:r>
              <w:rPr/>
              <w:t>any Foreign Lender shall, to the extent it is legally entitled to do so, deliver to the applicable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applicable Borrower or the Administrative Agent to determine the withholding or deduction required to be made; and</w:t>
            </w:r>
          </w:p>
        </w:tc>
      </w:tr>
    </w:tbl>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color w:val="0000FF"/>
              </w:rPr>
            </w:pPr>
            <w:r>
              <w:rPr>
                <w:color w:val="0000FF"/>
              </w:rPr>
              <w:t>(D)</w:t>
            </w:r>
          </w:p>
        </w:tc>
        <w:tc>
          <w:tcPr>
            <w:tcW w:w="9884" w:type="dxa"/>
            <w:tcBorders/>
            <w:vAlign w:val="center"/>
          </w:tcPr>
          <w:p>
            <w:pPr>
              <w:pStyle w:val="TableContents"/>
              <w:bidi w:val="0"/>
              <w:spacing w:before="0" w:after="283"/>
              <w:jc w:val="left"/>
              <w:rPr/>
            </w:pPr>
            <w:r>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applicable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LVII </w:t>
      </w:r>
      <w:r>
        <w:rPr>
          <w:rFonts w:ascii="Times New Roman;Times;Serif" w:hAnsi="Times New Roman;Times;Serif"/>
          <w:b w:val="false"/>
          <w:i w:val="false"/>
          <w:caps w:val="false"/>
          <w:smallCaps w:val="false"/>
          <w:sz w:val="20"/>
        </w:rPr>
        <w:t>Each Lender agrees that if any form or certification it previously delivered pursuant to this Section 3.01 expires or becomes obsolete or inaccurate in any respect, it shall update such form or certification or promptly notify the applicable Borrower and the Administrative Agent in writing of its legal inability to do so.</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left"/>
              <w:rPr/>
            </w:pPr>
            <w:r>
              <w:rPr>
                <w:u w:val="single"/>
              </w:rPr>
              <w:t>Treatment of Certain Refunds</w:t>
            </w:r>
            <w:r>
              <w:rPr/>
              <w:t>.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3.01, it shall pay to such Loan Party an amount equal to such refund (but only to the extent of indemnity payments made, or additional amounts paid, by such Loan Party under this Section 3.01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9"/>
        <w:gridCol w:w="304"/>
        <w:gridCol w:w="9862"/>
      </w:tblGrid>
      <w:tr>
        <w:trPr/>
        <w:tc>
          <w:tcPr>
            <w:tcW w:w="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283"/>
              <w:jc w:val="left"/>
              <w:rPr/>
            </w:pPr>
            <w:r>
              <w:rPr>
                <w:u w:val="single"/>
              </w:rPr>
              <w:t>Defined Terms</w:t>
            </w:r>
            <w:r>
              <w:rPr/>
              <w:t>. For the purposes of this Section 3.01, the term “applicable Law” includes FATCA.</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left"/>
              <w:rPr/>
            </w:pPr>
            <w:r>
              <w:rPr>
                <w:u w:val="single"/>
              </w:rPr>
              <w:t>Survival</w:t>
            </w:r>
            <w:r>
              <w:rPr/>
              <w:t>. Each party’s obligations under this Section 3.01 shall survive the resignation or replacement of the Administrative Agent or any assignment of rights by, or the replacement of, a Lender or the L/C Issuer, the termination of the Revolving Commitments and the repayment, satisfaction or discharge of all other Obligations.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57.02      </w:t>
      </w:r>
      <w:r>
        <w:rPr>
          <w:rFonts w:ascii="Times New Roman;Times;Serif" w:hAnsi="Times New Roman;Times;Serif"/>
          <w:b/>
          <w:i w:val="false"/>
          <w:caps w:val="false"/>
          <w:smallCaps w:val="false"/>
          <w:sz w:val="20"/>
          <w:u w:val="single"/>
        </w:rPr>
        <w:t>Illegality and Designated Lenders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(a)</w:t>
            </w:r>
          </w:p>
        </w:tc>
        <w:tc>
          <w:tcPr>
            <w:tcW w:w="9966" w:type="dxa"/>
            <w:tcBorders/>
            <w:vAlign w:val="center"/>
          </w:tcPr>
          <w:p>
            <w:pPr>
              <w:pStyle w:val="TableContents"/>
              <w:bidi w:val="0"/>
              <w:spacing w:before="0" w:after="283"/>
              <w:jc w:val="left"/>
              <w:rPr/>
            </w:pPr>
            <w:r>
              <w:rPr/>
              <w:t>If any Lender determines that any Law has made it unlawful, or that any Governmental Authority has asserted that it is unlawful, for any Lender or its applicable Lending Office to perform any of its obligations hereunder or to make, maintain or fund or charge interest with respect to any Loan or Letter of Credit or to determine or charge interest rates based upon a Relevant Rate, or any Governmental Authority has imposed material restrictions on the authority of such Lender to determine or charge interest rates based upon a Relevant Rate or to purchase or sell, or to take deposits of, Dollars or any Alternative Currency in the applicable interbank market, then, on notice thereof by such Lender to the Borrowers through the Administrative Agent, (a) any obligation of such Lender to issue, make, maintain, fund or charge interest with respect to any such Credit Extension or continue Term SOFR Loans or maintain Alternative Currency Loans in the affected currency or currencies or, in the case of Loans in Dollars, to make or maintain Term SOFR Loans or convert Base Rate Loans to Term SOFR Loans,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Borrowers that the circumstances giving rise to such determination no longer exist (which notice such Lender agrees to provide promptly). Upon receipt of such notice, (i) the applicable Borrowers shall, upon demand from such Lender (with a copy to the Administrative Agent), prepay all Term SOFR Loans or Alternative Currency Loans, as applicable, in the affected currency or currencies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Term Rate Loans, on the last day of the Interest Period therefor if such Lender may lawfully continue to maintain such Alternative Currency Term Rate Loans to such day and (ii) if such notice asserts the illegality of such</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determining or charging interest rates based upon the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the Term SOFR (which notice such Lender agrees to provide promptly). Upon any such prepayment or conversion, the applicable Borrowers shall also pay accrued interest on the amount so prepaid or converted, together with any additional amounts required pursuant to Section 3.05.</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left"/>
              <w:rPr/>
            </w:pPr>
            <w:r>
              <w:rPr/>
              <w:t>If, in any applicable jurisdiction, the Administrative Agent, the L/C Issuer or any Lender or any Designated Lender determines that any Law has made it unlawful, or that any Governmental Authority has asserted that it is unlawful, for the Administrative Agent, the L/C Issuer or any Lender or its applicable Designated Lender to (i) perform any of its obligations hereunder or under any other Loan Document, (ii) to fund or maintain its participation in any Loan or Letter of Credit or (iii) issue, make, maintain, fund or charge interest or fees with respect to any Credit Extension to any Designated Borrower who is organized under the laws of a jurisdiction other than the United States, a State thereof or the District of Columbia such Person shall promptly notify the Administrative Agent, then, upon the Administrative Agent notifying the Borrowers,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Borrowers or, if earlier, the date specified by such Person in the notice delivered to the Administrative Agent (being no earlier than the last day of any applicable grace period permitted by applicable Law), (B) to the extent applicable to the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57.03      </w:t>
      </w:r>
      <w:r>
        <w:rPr>
          <w:rFonts w:ascii="Times New Roman;Times;Serif" w:hAnsi="Times New Roman;Times;Serif"/>
          <w:b/>
          <w:i w:val="false"/>
          <w:caps w:val="false"/>
          <w:smallCaps w:val="false"/>
          <w:sz w:val="20"/>
          <w:u w:val="single"/>
        </w:rPr>
        <w:t>Inability to Determine Rates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color w:val="7030A0"/>
              </w:rPr>
            </w:pPr>
            <w:r>
              <w:rPr>
                <w:color w:val="7030A0"/>
              </w:rPr>
              <w:t>(a)</w:t>
            </w:r>
          </w:p>
        </w:tc>
        <w:tc>
          <w:tcPr>
            <w:tcW w:w="9952" w:type="dxa"/>
            <w:tcBorders/>
            <w:vAlign w:val="center"/>
          </w:tcPr>
          <w:p>
            <w:pPr>
              <w:pStyle w:val="TableContents"/>
              <w:bidi w:val="0"/>
              <w:spacing w:before="0" w:after="283"/>
              <w:jc w:val="left"/>
              <w:rPr/>
            </w:pPr>
            <w:r>
              <w:rPr/>
              <w:t>If in connection with any request for a Term SOFR Loan or an Alternative Currency Loan or a conversion of Base Rate Loans to Term SOFR Loans or a continuation of any such Loans, as applicable, (i) the Administrative Agent determines (which determination shall be conclusive absent manifest error) that (A) no SOFR Successor Rate or Successor Rate for the Relevant Rate for the applicable currency has been determined in</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accordance with Section 3.03(c) or Section 3.03(d), as applicable, and the circumstances under clause (i) of Section 3.03(c) or of Section 3.03(d) or the Scheduled Unavailability Date, or the SOFR Scheduled Unavailability Date, has occurred with respect to such Relevant Rate, as applicable, or (B) adequate and reasonable means do not otherwise exist for determining the Relevant Rate for any applicable currency for any determination date(s) or requested Interest Period, as applicable, with respect to a proposed Term SOFR Loan or an Alternative Currency Loan or in connection with an existing or proposed Base Rate Loan (in each case with respect to clause (i), “</w:t>
      </w:r>
      <w:r>
        <w:rPr>
          <w:rFonts w:ascii="Times New Roman;Times;Serif" w:hAnsi="Times New Roman;Times;Serif"/>
          <w:b w:val="false"/>
          <w:i w:val="false"/>
          <w:caps w:val="false"/>
          <w:smallCaps w:val="false"/>
          <w:sz w:val="20"/>
          <w:u w:val="single"/>
        </w:rPr>
        <w:t>Impacted Loans</w:t>
      </w:r>
      <w:r>
        <w:rPr>
          <w:rFonts w:ascii="Times New Roman;Times;Serif" w:hAnsi="Times New Roman;Times;Serif"/>
          <w:b w:val="false"/>
          <w:i w:val="false"/>
          <w:caps w:val="false"/>
          <w:smallCaps w:val="false"/>
          <w:sz w:val="20"/>
        </w:rPr>
        <w:t>”), or (ii)  the Administrative Agent or the Required Lenders determine that for any reason that the Relevant Rate with respect to a proposed Loan for any requested Interest Period or determination date(s) does not adequately and fairly reflect the cost to such Lenders of funding such Loan, the Administrative Agent will promptly notify the Borrowers and all Lenders.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(i) the obligation of the Lenders to make or maintain Loans in the affected currency or currencies, as applicable, or to convert Base Rate Loans to Term SOFR Loans, shall be suspended in each case to the extent of the affected Alternative Currency Loans or Interest Period or determination date(s), as applicable, and (ii)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Section 3.03(a), until the Administrative Agent upon the instruction of the Required Lenders) revokes such notice. Upon receipt of such notice, (i) the applicable Borrower may revoke any pending request for a Borrowing of, or conversion to Term SOFR Loans, or Borrowing of, or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(ii)(A) any outstanding Term SOFR Loans shall be deemed to have been converted to Base Rate Loans on the last day of the Interest Period applicable to such Loan (or the next succeeding Business Day if such day is not a Business Day) and (B) any outstanding affected Alternative Currency Loans, at the applicable Borrower’s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(or the next succeeding Business Day if such day is not a Business Day), in the case of an Alternative Currency Term Rate Loan or (2) be prepaid in full prior to the applicable conversion; provided that if no election is made by the applicable Borrower (x) in the case of an Alternative Currency Daily Rate Loan, by the date that is three Business Days after receipt by the applicable Borrower of such notice or (y) in the case of an Alternative Currency Term Rate Loan, by the last day of the current Interest Period for the applicable Alternative Currency Term Rate Loan, the applicable Borrower shall be deemed to have elected clause (1) above.</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left"/>
              <w:rPr/>
            </w:pPr>
            <w:r>
              <w:rPr/>
              <w:t>Notwithstanding the foregoing, if the Administrative Agent has made the determination described in clause (a)(i) of this Section, the Administrative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in consultation with the Borrowers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(a)(i) of this Section, (2) the Administrative Agent or the Required Lenders notify the Administrative Agent and the Borrowers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Borrowers written notice thereof.</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color w:val="7030A0"/>
              </w:rPr>
            </w:pPr>
            <w:r>
              <w:rPr>
                <w:color w:val="7030A0"/>
              </w:rPr>
              <w:t>(c)</w:t>
            </w:r>
          </w:p>
        </w:tc>
        <w:tc>
          <w:tcPr>
            <w:tcW w:w="9954" w:type="dxa"/>
            <w:tcBorders/>
            <w:vAlign w:val="center"/>
          </w:tcPr>
          <w:p>
            <w:pPr>
              <w:pStyle w:val="TableContents"/>
              <w:bidi w:val="0"/>
              <w:spacing w:before="0" w:after="283"/>
              <w:jc w:val="left"/>
              <w:rPr/>
            </w:pPr>
            <w:r>
              <w:rPr>
                <w:u w:val="single"/>
              </w:rPr>
              <w:t>Replacement of SOFR or SOFR Successor Rate</w:t>
            </w:r>
            <w:r>
              <w:rPr/>
              <w:t>. Notwithstanding anything to the contrary in this Agreement or any other Loan Documents, if the Administrative Agent determines (which determination shall be conclusive absent manifest error), or the Borrowers or Required Lenders notify the Administrative Agent (with, in the case of the Required Lenders, a copy to the Borrowers) that the Borrowers or Required Lenders (as applicable) have determined, that: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7030A0"/>
          <w:sz w:val="20"/>
        </w:rPr>
        <w:t xml:space="preserve">Article LVIII </w:t>
      </w:r>
      <w:r>
        <w:rPr>
          <w:rFonts w:ascii="Times New Roman;Times;Serif" w:hAnsi="Times New Roman;Times;Serif"/>
          <w:b w:val="false"/>
          <w:i w:val="false"/>
          <w:caps w:val="false"/>
          <w:smallCaps w:val="false"/>
          <w:sz w:val="20"/>
        </w:rPr>
        <w:t>adequate and reasonable means do not exist for ascertaining SOFR because SOFR is not available or published on a current basis and such circumstances are unlikely to be temporary; or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7030A0"/>
          <w:sz w:val="20"/>
        </w:rPr>
        <w:t>Article LIX</w:t>
      </w:r>
      <w:r>
        <w:rPr>
          <w:rFonts w:ascii="Times New Roman;Times;Serif" w:hAnsi="Times New Roman;Times;Serif"/>
          <w:b w:val="false"/>
          <w:i w:val="false"/>
          <w:caps w:val="false"/>
          <w:smallCaps w:val="false"/>
          <w:sz w:val="20"/>
        </w:rPr>
        <w:t xml:space="preserve"> the Applicable Authority has made a public statement identifying a specific date after which SOFR shall or will no longer be made available, or permitted to be used for determining the interest rate of syndicated loans denominated in Dollars, or shall or will otherwise cease, provided that, in each case, at the time of such statement, there is no successor administrator that is satisfactory to the Administrative Agent that will continue to provide SOFR (the date on which SOFR is no longer available permanently or indefinitely, the “</w:t>
      </w:r>
      <w:r>
        <w:rPr>
          <w:rFonts w:ascii="Times New Roman;Times;Serif" w:hAnsi="Times New Roman;Times;Serif"/>
          <w:b w:val="false"/>
          <w:i w:val="false"/>
          <w:caps w:val="false"/>
          <w:smallCaps w:val="false"/>
          <w:sz w:val="20"/>
          <w:u w:val="single"/>
        </w:rPr>
        <w:t>SOFR Scheduled Unavailability Date</w:t>
      </w:r>
      <w:r>
        <w:rPr>
          <w:rFonts w:ascii="Times New Roman;Times;Serif" w:hAnsi="Times New Roman;Times;Serif"/>
          <w:b w:val="false"/>
          <w:i w:val="false"/>
          <w:caps w:val="false"/>
          <w:smallCaps w:val="false"/>
          <w:sz w:val="20"/>
        </w:rPr>
        <w: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7030A0"/>
          <w:sz w:val="20"/>
        </w:rPr>
        <w:t xml:space="preserve">Article LX </w:t>
      </w:r>
      <w:r>
        <w:rPr>
          <w:rFonts w:ascii="Times New Roman;Times;Serif" w:hAnsi="Times New Roman;Times;Serif"/>
          <w:b w:val="false"/>
          <w:i w:val="false"/>
          <w:caps w:val="false"/>
          <w:smallCaps w:val="false"/>
          <w:sz w:val="20"/>
        </w:rPr>
        <w:t xml:space="preserve">or if the events or circumstances of the type described in </w:t>
      </w:r>
      <w:r>
        <w:rPr>
          <w:rFonts w:ascii="Times New Roman;Times;Serif" w:hAnsi="Times New Roman;Times;Serif"/>
          <w:b w:val="false"/>
          <w:i w:val="false"/>
          <w:caps w:val="false"/>
          <w:smallCaps w:val="false"/>
          <w:sz w:val="20"/>
          <w:u w:val="single"/>
        </w:rPr>
        <w:t>Section 3.03(b)(i)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(ii) </w:t>
      </w:r>
      <w:r>
        <w:rPr>
          <w:rFonts w:ascii="Times New Roman;Times;Serif" w:hAnsi="Times New Roman;Times;Serif"/>
          <w:b w:val="false"/>
          <w:i w:val="false"/>
          <w:caps w:val="false"/>
          <w:smallCaps w:val="false"/>
          <w:sz w:val="20"/>
        </w:rPr>
        <w:t>have occurred with respect to the SOFR Successor Rate then in effect,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and the Borrowers may amend this Agreement solely for the purpose of replacing SOFR for Dollars or any then current SOFR Successor Rate for Dollars in accordance with this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evolving or then existing convention for similar credit facilities syndicated and agented in the U.S. and denominated in Dollars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Times;Serif" w:hAnsi="Times New Roman;Times;Serif"/>
          <w:b w:val="false"/>
          <w:i w:val="false"/>
          <w:caps w:val="false"/>
          <w:smallCaps w:val="false"/>
          <w:sz w:val="20"/>
          <w:u w:val="single"/>
        </w:rPr>
        <w:t>SOFR Successor Rate</w:t>
      </w:r>
      <w:r>
        <w:rPr>
          <w:rFonts w:ascii="Times New Roman;Times;Serif" w:hAnsi="Times New Roman;Times;Serif"/>
          <w:b w:val="false"/>
          <w:i w:val="false"/>
          <w:caps w:val="false"/>
          <w:smallCaps w:val="false"/>
          <w:sz w:val="20"/>
        </w:rPr>
        <w:t>”), and any such amendment shall become effective at 5:00 p.m. (New York City time)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left"/>
              <w:rPr/>
            </w:pPr>
            <w:r>
              <w:rPr>
                <w:u w:val="single"/>
              </w:rPr>
              <w:t>Replacement of Relevant Rate or Successor Rate</w:t>
            </w:r>
            <w:r>
              <w:rPr/>
              <w:t>. Notwithstanding anything to the contrary in this Agreement or any other Loan Documents, if the Administrative Agent determines (which determination shall be conclusive absent manifest error), or the Borrowers or Required Lenders notify the Administrative Agent (with, in the case of the Required Lenders, a copy to the Borrowers) that the Borrowers or Required Lenders (as applicable) have determined, that: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LXI </w:t>
      </w:r>
      <w:r>
        <w:rPr>
          <w:rFonts w:ascii="Times New Roman;Times;Serif" w:hAnsi="Times New Roman;Times;Serif"/>
          <w:b w:val="false"/>
          <w:i w:val="false"/>
          <w:caps w:val="false"/>
          <w:smallCaps w:val="false"/>
          <w:sz w:val="20"/>
        </w:rPr>
        <w:t>adequate and reasonable means do not exist for ascertaining the Relevant Rate for an Alternative Currency because none of the tenors of such Relevant Rate is available or published on a current basis and such circumstances are unlikely to be temporary; or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LXII </w:t>
      </w:r>
      <w:r>
        <w:rPr>
          <w:rFonts w:ascii="Times New Roman;Times;Serif" w:hAnsi="Times New Roman;Times;Serif"/>
          <w:b w:val="false"/>
          <w:i w:val="false"/>
          <w:caps w:val="false"/>
          <w:smallCaps w:val="false"/>
          <w:sz w:val="20"/>
        </w:rPr>
        <w:t>the Applicable Authority has made a public statement identifying a specific date after which all tenors of the Relevant Rate for an Alternative Currency under this Agreement shall or will no longer be representative or made available, or permitted to be used for determining the interest rate of syndicated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are no longer representative or available permanently or indefinitely, the “</w:t>
      </w:r>
      <w:r>
        <w:rPr>
          <w:rFonts w:ascii="Times New Roman;Times;Serif" w:hAnsi="Times New Roman;Times;Serif"/>
          <w:b w:val="false"/>
          <w:i w:val="false"/>
          <w:caps w:val="false"/>
          <w:smallCaps w:val="false"/>
          <w:sz w:val="20"/>
          <w:u w:val="single"/>
        </w:rPr>
        <w:t>Scheduled Unavailability Date</w:t>
      </w:r>
      <w:r>
        <w:rPr>
          <w:rFonts w:ascii="Times New Roman;Times;Serif" w:hAnsi="Times New Roman;Times;Serif"/>
          <w:b w:val="false"/>
          <w:i w:val="false"/>
          <w:caps w:val="false"/>
          <w:smallCaps w:val="false"/>
          <w:sz w:val="20"/>
        </w:rPr>
        <w:t>”); or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events or circumstances of the type described in Section 3.03(d)(i), or (ii) have occurred with respect to the Successor Rate then in effect, then, the Administrative Agent and the Borrowers may amend this Agreement solely for the purpose of replacing the Relevant Rate for an Alternative Currency or any then current Successor Rate for an Alternative Currency in accordance with this Section 3.03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and any such amendment shall</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become effective at 5:00 p.m. (New York City time)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left"/>
              <w:rPr/>
            </w:pPr>
            <w:r>
              <w:rPr>
                <w:u w:val="single"/>
              </w:rPr>
              <w:t>SOFR Successor Rate and Successor Rate</w:t>
            </w:r>
            <w:r>
              <w:rPr/>
              <w:t>. The Administrative Agent will promptly (in one or more notices) notify the Borrowers and each Lender of the implementation of any SOFR Successor Rate or Successor Rate.</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SOFR Successor Rate or Successor Rate shall be applied in a manner consistent with market practice; provided that to the extent such market practice is not administratively feasible for the Administrative Agent, such SOFR Successor Rate or Successor Rate shall be applied in a manner as otherwise reasonably determined by the Administrative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herein, if at any time any SOFR Successor Rate or Successor Rate as so determined would otherwise be less than zero, the SOFR Successor Rate or Successor Rate will be deemed to be zero for the purposes of this Agreement and the other Loan Documents.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a SOFR Successor Rate or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the Borrowers and the Lenders reasonably promptly after such amendment becomes effective.</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left"/>
              <w:rPr/>
            </w:pPr>
            <w:r>
              <w:rPr/>
              <w:t>For the purposes of this Section 3.03, those Lenders that either have not made, or do not have an obligation under this Agreement to make, the relevant Loans in the relevant Alternative Currency shall be excluded from any determination of Required Lenders.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62.02      </w:t>
      </w:r>
      <w:r>
        <w:rPr>
          <w:rFonts w:ascii="Times New Roman;Times;Serif" w:hAnsi="Times New Roman;Times;Serif"/>
          <w:b/>
          <w:i w:val="false"/>
          <w:caps w:val="false"/>
          <w:smallCaps w:val="false"/>
          <w:sz w:val="20"/>
          <w:u w:val="single"/>
        </w:rPr>
        <w:t>Increased Costs; Reserves on Term SOFR Loans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69"/>
        <w:gridCol w:w="503"/>
        <w:gridCol w:w="9633"/>
      </w:tblGrid>
      <w:tr>
        <w:trPr/>
        <w:tc>
          <w:tcPr>
            <w:tcW w:w="6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pPr>
            <w:r>
              <w:rPr/>
              <w:t>(a)</w:t>
            </w:r>
          </w:p>
        </w:tc>
        <w:tc>
          <w:tcPr>
            <w:tcW w:w="9633" w:type="dxa"/>
            <w:tcBorders/>
            <w:vAlign w:val="center"/>
          </w:tcPr>
          <w:p>
            <w:pPr>
              <w:pStyle w:val="TableContents"/>
              <w:bidi w:val="0"/>
              <w:spacing w:before="0" w:after="283"/>
              <w:jc w:val="left"/>
              <w:rPr/>
            </w:pPr>
            <w:r>
              <w:rPr>
                <w:u w:val="single"/>
              </w:rPr>
              <w:t>Increased Costs Generally</w:t>
            </w:r>
            <w:r>
              <w:rPr/>
              <w:t>. If any Change in Law shall:</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LXIII </w:t>
      </w:r>
      <w:r>
        <w:rPr>
          <w:rFonts w:ascii="Times New Roman;Times;Serif" w:hAnsi="Times New Roman;Times;Serif"/>
          <w:b w:val="false"/>
          <w:i w:val="false"/>
          <w:caps w:val="false"/>
          <w:smallCaps w:val="false"/>
          <w:sz w:val="20"/>
        </w:rPr>
        <w:t>impose, modify or deem applicable any reserve, special deposit, compulsory loan, insurance charge or similar requirement against assets of, deposits with or for the account of, or credit extended or participated in by, any Lender (except any reserve requirement contemplated by Section 3.04(e)) or the L/C Issuer;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LXIV </w:t>
      </w:r>
      <w:r>
        <w:rPr>
          <w:rFonts w:ascii="Times New Roman;Times;Serif" w:hAnsi="Times New Roman;Times;Serif"/>
          <w:b w:val="false"/>
          <w:i w:val="false"/>
          <w:caps w:val="false"/>
          <w:smallCaps w:val="false"/>
          <w:sz w:val="20"/>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LXV</w:t>
      </w:r>
      <w:r>
        <w:rPr>
          <w:rFonts w:ascii="Times New Roman;Times;Serif" w:hAnsi="Times New Roman;Times;Serif"/>
          <w:b w:val="false"/>
          <w:i w:val="false"/>
          <w:caps w:val="false"/>
          <w:smallCaps w:val="false"/>
          <w:sz w:val="20"/>
        </w:rPr>
        <w:t xml:space="preserve"> impose on any Lender or the L/C Issuer or any applicable interbank market any other condition, cost or expense (other than Taxes) affecting this Agreement, Term SOFR Loans or Alternative Currency Loans made by such Lender or any Letter of Credit or participation therein;</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applicable Borrowers will pay to such Lender or the L/C Issuer, as the case may be, such additional amount or amounts as will compensate such Lender or the L/C Issuer, as the case may be, for such additional costs incurred or reduction suffered.</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u w:val="single"/>
              </w:rPr>
              <w:t>Capital Requirements</w:t>
            </w:r>
            <w:r>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Revolving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applicable Borrowers will pay to such Lender or the L/C Issuer, as the case may be, such additional amount or amounts as will compensate such Lender or the L/C Issuer or such Lender’s or the L/C Issuer’s holding company for any such reduction suffered.</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left"/>
              <w:rPr/>
            </w:pPr>
            <w:r>
              <w:rPr>
                <w:u w:val="single"/>
              </w:rPr>
              <w:t>Mandatory Costs</w:t>
            </w:r>
            <w:r>
              <w:rPr/>
              <w:t>. If any Lender or the L/C Issuer incurs any Mandatory Costs attributable to the Obligations, then from time to time the applicable Borrowers will pay (or cause the applicable Designated Borrower to pay) to such Lender or the L/C Issuer, as the case may be, such Mandatory Costs. Such amount shall be expressed as a percentage rate per annum and shall be payable on the full amount of the applicable Obligations.</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left"/>
              <w:rPr/>
            </w:pPr>
            <w:r>
              <w:rPr>
                <w:u w:val="single"/>
              </w:rPr>
              <w:t>Certificates for Reimbursement</w:t>
            </w:r>
            <w:r>
              <w:rPr/>
              <w:t>. A certificate of a Lender or the L/C Issuer setting forth the amount or amounts necessary to compensate such Lender or the L/C Issuer or its holding company, as the case may be, as specified in subsection (a), (b) or (c) of this Section and delivered to the Borrowers shall be conclusive absent manifest error. The applicable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shall pay such Lender or the L/C Issuer, as the case may be, the amount shown as due on any such certificate within ten (10) days after receipt thereof.</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left"/>
              <w:rPr/>
            </w:pPr>
            <w:r>
              <w:rPr>
                <w:u w:val="single"/>
              </w:rPr>
              <w:t>Reserves on Term SOFR Loans</w:t>
            </w:r>
            <w:r>
              <w:rPr/>
              <w:t>. The applicable Borrowers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Term SOFR Loan equal to the actual costs of such reserves allocated to such Loan by such Lender (as determined by such Lender in good faith, which determination shall be conclusive absent manifest error), which shall be due and payable on each date on which interest is payable on such Loan, provided the applicable Borrowers shall have received at least ten (10) days’ prior notice (with a copy to the Administrative Agent) of such additional interest or costs from such Lender. If a Lender fails to give notice ten (10) days prior to the relevant Interest Payment Date, such additional interest shall be due and payable ten (10) days from receipt of such notice.</w:t>
            </w:r>
          </w:p>
        </w:tc>
      </w:tr>
    </w:tbl>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(e)</w:t>
            </w:r>
          </w:p>
        </w:tc>
        <w:tc>
          <w:tcPr>
            <w:tcW w:w="9961" w:type="dxa"/>
            <w:tcBorders/>
            <w:vAlign w:val="center"/>
          </w:tcPr>
          <w:p>
            <w:pPr>
              <w:pStyle w:val="TableContents"/>
              <w:bidi w:val="0"/>
              <w:spacing w:before="0" w:after="283"/>
              <w:jc w:val="left"/>
              <w:rPr/>
            </w:pPr>
            <w:r>
              <w:rPr>
                <w:u w:val="single"/>
              </w:rPr>
              <w:t>Delay in Requests</w:t>
            </w:r>
            <w:r>
              <w:rPr/>
              <w:t>. Failure or delay on the part of any Lender or the L/C Issuer to demand compensation pursuant to the foregoing provisions of this Section 3.04 shall not constitute a waiver of such Lender’s or the L/C Issuer’s right to demand such compensation, provided that the applicable Borrowers shall not be required to compensate a Lender or the L/C Issuer pursuant to the foregoing provisions of this Section for any increased costs incurred or reductions suffered more than nine (9) months prior to the date that such Lender or the L/C Issuer, as the case may be, notifies the Borrowers of the Change in Law giving rise to such increased costs or reductions and 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65.02      </w:t>
      </w:r>
      <w:r>
        <w:rPr>
          <w:rFonts w:ascii="Times New Roman;Times;Serif" w:hAnsi="Times New Roman;Times;Serif"/>
          <w:b/>
          <w:i w:val="false"/>
          <w:caps w:val="false"/>
          <w:smallCaps w:val="false"/>
          <w:sz w:val="20"/>
          <w:u w:val="single"/>
        </w:rPr>
        <w:t>Compensation for Losses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demand of any Lender (with a copy to the Administrative Agent) from time to time, the applicable Borrowers shall promptly compensate such Lender for and hold such Lender harmless from any loss, cost or expense incurred by it as a result of:</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any continuation, conversion, payment or prepayment of any Loan other than a Base Rate Loan on a day other than the last day of the Interest Period for such Loan (whether voluntary, mandatory, automatic, by reason of acceleration, or otherwise);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left"/>
              <w:rPr/>
            </w:pPr>
            <w:r>
              <w:rPr/>
              <w:t>any failure by any Borrower (for a reason other than the failure of such Lender to make a Loan) to prepay, borrow, continue or convert any Loan other than a Base Rate Loan on the date or in the amount notified by such Borrower;</w:t>
            </w:r>
          </w:p>
        </w:tc>
      </w:tr>
    </w:tbl>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left"/>
              <w:rPr/>
            </w:pPr>
            <w:r>
              <w:rPr/>
              <w:t>any assignment of a Term SOFR Loan or Alternative Currency Term Rate Loan on a day other than the last day of the Interest Period therefor as a result of a request by any Borrower pursuant to Section 11.13; or</w:t>
            </w:r>
          </w:p>
        </w:tc>
      </w:tr>
    </w:tbl>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left"/>
              <w:rPr/>
            </w:pPr>
            <w:r>
              <w:rPr/>
              <w:t>any failure by any Borrower to make payment of any Loan or drawing under any Letter of Credit (or interest due thereon) denominated in an Alternative Currency on its scheduled due date or any payment thereof in a different currency;</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any loss of anticipated profits, any foreign exchange losses and Applicable Margin, but including any loss or expense arising from the liquidation or reemployment of funds obtained by it to maintain such Loan or from fees payable to terminate the deposits from which such funds were obtained or from the performance of any foreign exchange contract. The applicable Borrowers shall also pay any customary administrative fees charged by such Lender in connection with the foregoing.</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of any Lender setting forth any amount which such Lender is entitled to receive pursuant to this Section 3.05 and the calculation of such amount in reasonable detail shall be delivered to the Borrowers and shall be conclusive absent manifest error. The applicable Borrowers shall pay such Lender the amount shown as due on any such certificate within ten (10) days after receipt thereof.</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65.03      </w:t>
      </w:r>
      <w:r>
        <w:rPr>
          <w:rFonts w:ascii="Times New Roman;Times;Serif" w:hAnsi="Times New Roman;Times;Serif"/>
          <w:b/>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u w:val="single"/>
              </w:rPr>
              <w:t>Designation of a Different Lending Office</w:t>
            </w:r>
            <w:r>
              <w:rPr/>
              <w:t>. If any Lender requests compensation under Section 3.04, or requires the applicable Borrowers to pay any Indemnified Taxes or additional amounts to any Lender, the L/C Issuer, or any Governmental Authority for the account of any Lender or the L/C Issuer pursuant to Section 3.01, or if any Lender gives a notice pursuant to Section 3.02,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Section 3.01 or 3.04, as the case may be, in the future, or eliminate the need for the notice pursuant to Section 3.02, as applicable, and (ii) in each case, would not subject such Lender or the L/C Issuer, as the case may be, to any unreimbursed cost or expense and would not otherwise be disadvantageous to such Lender or the L/C Issuer, as the case may be. The Borrowers hereby agree to pay all reasonable out of pocket costs and</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any Lender or the L/C Issuer in connection with any such designation or assignment.</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u w:val="single"/>
              </w:rPr>
              <w:t>Replacement of Lenders</w:t>
            </w:r>
            <w:r>
              <w:rPr/>
              <w:t>. If any Lender requests compensation under Section 3.04, or if any Borrower is required to pay any Indemnified Taxes or additional amounts to any Lender or any Governmental Authority for the account of any Lender pursuant to Section 3.01 and, in each case, such Lender has declined or is unable to designate a different lending office in accordance with Section 3.06(a), the Borrowers may replace such Lender in accordance with Section 11.13.</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65.04     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Borrowers’ obligations under this Article III shall survive termination of the Aggregate Commitments, repayment of all other Obligations hereunder, resignation of the Administrative Agent and the Facility Termination Date.</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LXVI</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PRECEDENT TO CREDIT EXTENSIONS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66.01      </w:t>
      </w:r>
      <w:r>
        <w:rPr>
          <w:rFonts w:ascii="Times New Roman;Times;Serif" w:hAnsi="Times New Roman;Times;Serif"/>
          <w:b/>
          <w:i w:val="false"/>
          <w:caps w:val="false"/>
          <w:smallCaps w:val="false"/>
          <w:sz w:val="20"/>
          <w:u w:val="single"/>
        </w:rPr>
        <w:t>Conditions of Initial Credit Extension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L/C Issuer and each Lender to make its initial Credit Extension hereunder is subject to satisfaction of the following conditions precedent:</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u w:val="single"/>
              </w:rPr>
              <w:t>Execution of Credit Agreement; Loan Documents</w:t>
            </w:r>
            <w:r>
              <w:rPr/>
              <w:t>. The Administrative Agent shall have received (i) counterparts of this Agreement, executed by a Responsible Officer of each Loan Party and a duly authorized officer of each Lender, (ii) for the account of each Lender requesting a Note, a Note executed by a Responsible Officer of each Borrower, (iii) counterparts of the Ratification Agreement, and each other Collateral Document, as applicable, executed by a Responsible Officer of the applicable Loan Parties and a duly authorized officer of each other Person party thereto, as applicable and (iv) counterparts of any other Loan Document, executed by a Responsible Officer of the applicable Loan Party and a duly authorized officer of each other Person party thereto.</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left"/>
              <w:rPr/>
            </w:pPr>
            <w:r>
              <w:rPr>
                <w:u w:val="single"/>
              </w:rPr>
              <w:t>Officer’s Certificate</w:t>
            </w:r>
            <w:r>
              <w:rPr/>
              <w:t>. The Administrative Agent shall have received an Officer’s Certificate dated the Closing Date, certifying as to the Organization Documents of each Loan Party (which, to the extent filed with a Governmental Authority, shall be certified as of a recent date by such Governmental Authority), the resolutions of the governing body of each Loan Party (including, with respect to a Swiss Loan Party, (i) a copy of minutes of a meeting (or of a circular resolution) of the board of directors of such Swiss Loan Party approving the Loan Documents to which it is a party and (ii) a copy of minutes of a meeting of the general meeting of shareholders of such Swiss Loan Party approving the Loan</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which it is a party), the good standing, existence or its equivalent of each Loan Party and of the incumbency (including specimen signatures) of the Responsible Officers of each Loan Party.</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left"/>
              <w:rPr/>
            </w:pPr>
            <w:r>
              <w:rPr>
                <w:u w:val="single"/>
              </w:rPr>
              <w:t>Legal Opinions of Counsel</w:t>
            </w:r>
            <w:r>
              <w:rPr/>
              <w:t>. The Administrative Agent shall have received an opinion or opinions (including, if reasonably requested by the Administrative Agent, local counsel opinions) of counsel for the Loan Parties, dated the Closing Date and addressed to the Administrative Agent and the Lenders, in form and substance reasonably acceptable to the Administrative Agent.</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left"/>
              <w:rPr/>
            </w:pPr>
            <w:r>
              <w:rPr>
                <w:u w:val="single"/>
              </w:rPr>
              <w:t>Financial Statements</w:t>
            </w:r>
            <w:r>
              <w:rPr/>
              <w:t>. The Administrative Agent and the Lenders shall have received copies of (A) the financial statements referred to in Section 5.05, (B) audited financial statements of the Parent and its Subsidiaries for the years ended January 31, 2016 and January 31, 2017, and (C) a set of projections including the projected financial performance of the Parent and its Subsidiaries through the Maturity Date prepared in good faith based upon assumptions believed to be reasonable at the time prepared and at the time provided, each in form and substance reasonably satisfactory to each of them.</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9" w:type="dxa"/>
            <w:tcBorders/>
            <w:vAlign w:val="center"/>
          </w:tcPr>
          <w:p>
            <w:pPr>
              <w:pStyle w:val="TableContents"/>
              <w:bidi w:val="0"/>
              <w:spacing w:before="0" w:after="283"/>
              <w:jc w:val="left"/>
              <w:rPr/>
            </w:pPr>
            <w:r>
              <w:rPr>
                <w:u w:val="single"/>
              </w:rPr>
              <w:t>Personal Property Collateral</w:t>
            </w:r>
            <w:r>
              <w:rPr/>
              <w:t>. The Administrative Agent shall have received, in form and substance reasonably satisfactory to the Administrative Agent: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LXVII</w:t>
      </w:r>
      <w:r>
        <w:rPr>
          <w:rFonts w:ascii="Times New Roman;Times;Serif" w:hAnsi="Times New Roman;Times;Serif"/>
          <w:b w:val="false"/>
          <w:i w:val="false"/>
          <w:caps w:val="false"/>
          <w:smallCaps w:val="false"/>
          <w:sz w:val="20"/>
        </w:rPr>
        <w:t xml:space="preserve"> (A) a completed Perfection Certificate for each Domestic Loan Party and a completed Information Certificate for each Foreign Loan Party, searches of UCC filings in the jurisdiction of incorporation or formation, as applicable, of each Domestic Loan Party and each other jurisdiction deemed reasonably appropriate by the Administrative Agent, copies of the financing statements on file in such jurisdictions and evidence that no Liens exist other than Permitted Liens and (B) tax lien, judgment and bankruptcy searches in such jurisdictions as are deemed reasonably appropriate by the Administrative Agent;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LXVIII </w:t>
      </w:r>
      <w:r>
        <w:rPr>
          <w:rFonts w:ascii="Times New Roman;Times;Serif" w:hAnsi="Times New Roman;Times;Serif"/>
          <w:b w:val="false"/>
          <w:i w:val="false"/>
          <w:caps w:val="false"/>
          <w:smallCaps w:val="false"/>
          <w:sz w:val="20"/>
        </w:rPr>
        <w:t>patent/trademark/copyright filings in suitable form for filing with the United States Patent and Trademark Office or the United States Copyright Office, as applicable, as reasonably requested by the Administrative Agent in order to perfect the Administrative Agent’s security interest in the Intellectual Property registered or pending in the United States;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LXIX </w:t>
      </w:r>
      <w:r>
        <w:rPr>
          <w:rFonts w:ascii="Times New Roman;Times;Serif" w:hAnsi="Times New Roman;Times;Serif"/>
          <w:b w:val="false"/>
          <w:i w:val="false"/>
          <w:caps w:val="false"/>
          <w:smallCaps w:val="false"/>
          <w:sz w:val="20"/>
        </w:rPr>
        <w:t>completed UCC financing statements for each appropriate jurisdiction as is necessary, in the Administrative Agent’s sole discretion, to perfect the Administrative Agent’s security interest in the Collateral;</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LXX </w:t>
      </w:r>
      <w:r>
        <w:rPr>
          <w:rFonts w:ascii="Times New Roman;Times;Serif" w:hAnsi="Times New Roman;Times;Serif"/>
          <w:b w:val="false"/>
          <w:i w:val="false"/>
          <w:caps w:val="false"/>
          <w:smallCaps w:val="false"/>
          <w:sz w:val="20"/>
        </w:rPr>
        <w:t>stock or membership certificates, if any, evidencing the Pledged Equity and undated stock or transfer powers duly executed in blank; in each case to the extent such Pledged Equity is certificated (it being understood that any Loan Party and any Subsidiary or other issuer thereof will be obligated to cause any such Pledged Equity not already certificated to become certificated);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LXXI</w:t>
      </w:r>
      <w:r>
        <w:rPr>
          <w:rFonts w:ascii="Times New Roman;Times;Serif" w:hAnsi="Times New Roman;Times;Serif"/>
          <w:b w:val="false"/>
          <w:i w:val="false"/>
          <w:caps w:val="false"/>
          <w:smallCaps w:val="false"/>
          <w:sz w:val="20"/>
        </w:rPr>
        <w:t xml:space="preserve"> in the case of any personal property Collateral located at premises leased by a Loan Party and set forth on </w:t>
      </w:r>
      <w:r>
        <w:rPr>
          <w:rFonts w:ascii="Times New Roman;Times;Serif" w:hAnsi="Times New Roman;Times;Serif"/>
          <w:b w:val="false"/>
          <w:i w:val="false"/>
          <w:caps w:val="false"/>
          <w:smallCaps w:val="false"/>
          <w:sz w:val="20"/>
          <w:u w:val="single"/>
        </w:rPr>
        <w:t xml:space="preserve">Schedule 5.21(d)(ii) </w:t>
      </w:r>
      <w:r>
        <w:rPr>
          <w:rFonts w:ascii="Times New Roman;Times;Serif" w:hAnsi="Times New Roman;Times;Serif"/>
          <w:b w:val="false"/>
          <w:i w:val="false"/>
          <w:caps w:val="false"/>
          <w:smallCaps w:val="false"/>
          <w:sz w:val="20"/>
        </w:rPr>
        <w:t>with respect to which a Landlord Waiver or similar letter, consent or waiver is required by Administrative Agent, evidence reasonably satisfactory to the Administrative Agent that the Borrowers shall have used commercially reasonable efforts to obtain consents and waivers from the landlords of such real property to the extent required to be delivered in connection with Section 6.14 (such letters, consents and waivers shall be in form and substance reasonably satisfactory to the Administrative Agent, it being acknowledged and agreed that any Landlord Waiver is satisfactory to the Administrative Agent); and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LXXII</w:t>
      </w:r>
      <w:r>
        <w:rPr>
          <w:rFonts w:ascii="Times New Roman;Times;Serif" w:hAnsi="Times New Roman;Times;Serif"/>
          <w:b w:val="false"/>
          <w:i w:val="false"/>
          <w:caps w:val="false"/>
          <w:smallCaps w:val="false"/>
          <w:sz w:val="20"/>
        </w:rPr>
        <w:t xml:space="preserve"> to the extent required to be delivered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such Collateral.</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left"/>
              <w:rPr/>
            </w:pPr>
            <w:r>
              <w:rPr>
                <w:u w:val="single"/>
              </w:rPr>
              <w:t>Liability, Casualty, Property and Business Interruption Insurance</w:t>
            </w:r>
            <w:r>
              <w:rPr/>
              <w:t>. The Administrative Agent shall have received copies of insurance policies and summaries, certificates of insurance, declaration pages and endorsements of insurance requested by the Administrative Agent evidencing liability, casualty, property, terrorism and business interruption insurance meeting the requirements set forth herein or in the Collateral Documents or as required by the Administrative Agent. The Loan Parties shall have delivered to the Administrative Agent an Authorization to Share Insurance Information.</w:t>
            </w:r>
          </w:p>
        </w:tc>
      </w:tr>
    </w:tbl>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left"/>
              <w:rPr/>
            </w:pPr>
            <w:r>
              <w:rPr>
                <w:u w:val="single"/>
              </w:rPr>
              <w:t>Financial Condition Certificate</w:t>
            </w:r>
            <w:r>
              <w:rPr/>
              <w:t xml:space="preserve">. The Administrative Agent shall have received a certificate or certificates executed by a Responsible Officer of the Parent as of the Closing Date, as to certain financial matters, substantially in the form of </w:t>
            </w:r>
            <w:r>
              <w:rPr>
                <w:u w:val="single"/>
              </w:rPr>
              <w:t>Exhibit N</w:t>
            </w:r>
            <w:r>
              <w:rPr/>
              <w:t>.</w:t>
            </w:r>
          </w:p>
        </w:tc>
      </w:tr>
    </w:tbl>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(c)</w:t>
            </w:r>
          </w:p>
        </w:tc>
        <w:tc>
          <w:tcPr>
            <w:tcW w:w="9912" w:type="dxa"/>
            <w:tcBorders/>
            <w:vAlign w:val="center"/>
          </w:tcPr>
          <w:p>
            <w:pPr>
              <w:pStyle w:val="TableContents"/>
              <w:bidi w:val="0"/>
              <w:spacing w:before="0" w:after="283"/>
              <w:jc w:val="left"/>
              <w:rPr/>
            </w:pPr>
            <w:r>
              <w:rPr>
                <w:u w:val="single"/>
              </w:rPr>
              <w:t>Loan Notice</w:t>
            </w:r>
            <w:r>
              <w:rPr/>
              <w:t>. The Administrative Agent shall have received a Loan Notice with respect to the Loans to be made on the Closing Date.</w:t>
            </w:r>
          </w:p>
        </w:tc>
      </w:tr>
    </w:tbl>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left"/>
              <w:rPr/>
            </w:pPr>
            <w:r>
              <w:rPr>
                <w:u w:val="single"/>
              </w:rPr>
              <w:t>Existing Indebtedness of the Loan Parties</w:t>
            </w:r>
            <w:r>
              <w:rPr/>
              <w:t>. The Administrative Agent and the Lenders shall be satisfied that there is no outstanding Indebtedness for borrowed money of each Borrower and its Subsidiaries (other than Indebtedness permitted to exist pursuant to Section 7.02).</w:t>
            </w:r>
          </w:p>
        </w:tc>
      </w:tr>
    </w:tbl>
    <w:tbl>
      <w:tblPr>
        <w:tblW w:w="5000" w:type="pct"/>
        <w:jc w:val="left"/>
        <w:tblInd w:w="0" w:type="dxa"/>
        <w:tblLayout w:type="fixed"/>
        <w:tblCellMar>
          <w:top w:w="0" w:type="dxa"/>
          <w:left w:w="0" w:type="dxa"/>
          <w:bottom w:w="0" w:type="dxa"/>
          <w:right w:w="0" w:type="dxa"/>
        </w:tblCellMar>
      </w:tblPr>
      <w:tblGrid>
        <w:gridCol w:w="184"/>
        <w:gridCol w:w="1334"/>
        <w:gridCol w:w="8687"/>
      </w:tblGrid>
      <w:tr>
        <w:trPr/>
        <w:tc>
          <w:tcPr>
            <w:tcW w:w="18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pPr>
            <w:r>
              <w:rPr/>
              <w:t>(e)</w:t>
            </w:r>
          </w:p>
        </w:tc>
        <w:tc>
          <w:tcPr>
            <w:tcW w:w="8687" w:type="dxa"/>
            <w:tcBorders/>
            <w:vAlign w:val="center"/>
          </w:tcPr>
          <w:p>
            <w:pPr>
              <w:pStyle w:val="TableContents"/>
              <w:bidi w:val="0"/>
              <w:spacing w:before="0" w:after="283"/>
              <w:jc w:val="left"/>
              <w:rPr/>
            </w:pPr>
            <w:r>
              <w:rPr>
                <w:u w:val="single"/>
              </w:rPr>
              <w:t>KYC Information</w:t>
            </w:r>
            <w:r>
              <w:rPr/>
              <w:t>.</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LXXIII </w:t>
      </w:r>
      <w:r>
        <w:rPr>
          <w:rFonts w:ascii="Times New Roman;Times;Serif" w:hAnsi="Times New Roman;Times;Serif"/>
          <w:b w:val="false"/>
          <w:i w:val="false"/>
          <w:caps w:val="false"/>
          <w:smallCaps w:val="false"/>
          <w:sz w:val="20"/>
        </w:rPr>
        <w:t>Upon the reasonable request of any Lender made at least ten (10) days prior to the Closing Date, the Borrowers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(3) days prior to the Closing Date.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LXXIV</w:t>
      </w:r>
      <w:r>
        <w:rPr>
          <w:rFonts w:ascii="Times New Roman;Times;Serif" w:hAnsi="Times New Roman;Times;Serif"/>
          <w:b w:val="false"/>
          <w:i w:val="false"/>
          <w:caps w:val="false"/>
          <w:smallCaps w:val="false"/>
          <w:sz w:val="20"/>
        </w:rPr>
        <w:t xml:space="preserve"> At least five (5) days prior to the Closing Date, any Borrower that qualifies as a “legal entity customer” under the Beneficial Ownership Regulation shall deliver, to any requesting Lender, a Beneficial Ownership Certification in relation to such Borrower.</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u w:val="single"/>
              </w:rPr>
              <w:t>Solvency Certificate</w:t>
            </w:r>
            <w:r>
              <w:rPr/>
              <w:t>. The Administrative Agent shall have received a Solvency Certificate signed by a Responsible Officer of Parent as to the financial condition, solvency and related matters of the Parent and its Subsidiaries, after giving effect to the initial borrowings under the Loan Documents and the other transactions contemplated hereby.</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left"/>
              <w:rPr/>
            </w:pPr>
            <w:r>
              <w:rPr>
                <w:u w:val="single"/>
              </w:rPr>
              <w:t>Consents</w:t>
            </w:r>
            <w:r>
              <w:rPr/>
              <w:t>. The Administrative Agent shall have received evidence that all members, boards of directors, governmental, shareholder and material third party consents and approvals necessary in connection with the entering into of this Agreement and the other Loan Documents have been obtained.</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left"/>
              <w:rPr/>
            </w:pPr>
            <w:r>
              <w:rPr>
                <w:u w:val="single"/>
              </w:rPr>
              <w:t>Fees and Expenses</w:t>
            </w:r>
            <w:r>
              <w:rPr/>
              <w:t>. The Administrative Agent and the Lenders shall have received all fees and expenses (including the fees and expenses of counsel (including any local counsel) for the Administrative Agent invoiced at least one Business Day prior to the Closing Date), if any, owing pursuant to the Loan Documents.</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left"/>
              <w:rPr/>
            </w:pPr>
            <w:r>
              <w:rPr>
                <w:u w:val="single"/>
              </w:rPr>
              <w:t>Licensing Requirements</w:t>
            </w:r>
            <w:r>
              <w:rPr/>
              <w:t>. The Administrative Agent, Swingline Lender and L/C Issuer and each Lender shall have obtained all applicable licenses, consents, permits and approvals as deemed necessary by such Lender in order to execute and perform the transactions contemplated by the Loan Documents.</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(e)</w:t>
            </w:r>
          </w:p>
        </w:tc>
        <w:tc>
          <w:tcPr>
            <w:tcW w:w="9935" w:type="dxa"/>
            <w:tcBorders/>
            <w:vAlign w:val="center"/>
          </w:tcPr>
          <w:p>
            <w:pPr>
              <w:pStyle w:val="TableContents"/>
              <w:bidi w:val="0"/>
              <w:spacing w:before="0" w:after="283"/>
              <w:jc w:val="left"/>
              <w:rPr/>
            </w:pPr>
            <w:r>
              <w:rPr>
                <w:u w:val="single"/>
              </w:rPr>
              <w:t>Material Adverse Effect</w:t>
            </w:r>
            <w:r>
              <w:rPr/>
              <w:t>. There shall not have occurred since January 31, 2018 any event or condition that has had or could be reasonably expected, either individually or in the aggregate, to have a Material Adverse Effect.</w:t>
            </w:r>
          </w:p>
        </w:tc>
      </w:tr>
    </w:tbl>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left"/>
              <w:rPr/>
            </w:pPr>
            <w:r>
              <w:rPr>
                <w:u w:val="single"/>
              </w:rPr>
              <w:t>No Litigation</w:t>
            </w:r>
            <w:r>
              <w:rPr/>
              <w:t>. The absence of any action, suit, investigation or proceeding pending or, to the knowledge of the Loan Parties, threatened in any court or before any arbitrator or governmental authority that could reasonably be expected to have a Material Adverse Effect, except for the Watch Tariff Matter.</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left"/>
              <w:rPr/>
            </w:pPr>
            <w:r>
              <w:rPr>
                <w:u w:val="single"/>
              </w:rPr>
              <w:t>Due Diligence</w:t>
            </w:r>
            <w:r>
              <w:rPr/>
              <w:t>. The Lenders shall have completed a due diligence investigation of the Borrowers and its Subsidiaries in scope, and with results, satisfactory to the Lenders, including, without limitation, U.S. Department of Treasury Office of Foreign Assets Control, Foreign Corrupt Practices Act (“</w:t>
            </w:r>
            <w:r>
              <w:rPr>
                <w:u w:val="single"/>
              </w:rPr>
              <w:t>FCPA</w:t>
            </w:r>
            <w:r>
              <w:rPr/>
              <w:t>”) and “know your customer” due diligence.</w:t>
            </w:r>
          </w:p>
        </w:tc>
      </w:tr>
    </w:tbl>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(h)</w:t>
            </w:r>
          </w:p>
        </w:tc>
        <w:tc>
          <w:tcPr>
            <w:tcW w:w="9904" w:type="dxa"/>
            <w:tcBorders/>
            <w:vAlign w:val="center"/>
          </w:tcPr>
          <w:p>
            <w:pPr>
              <w:pStyle w:val="TableContents"/>
              <w:bidi w:val="0"/>
              <w:spacing w:before="0" w:after="283"/>
              <w:jc w:val="left"/>
              <w:rPr/>
            </w:pPr>
            <w:r>
              <w:rPr>
                <w:u w:val="single"/>
              </w:rPr>
              <w:t>Other Documents</w:t>
            </w:r>
            <w:r>
              <w:rPr/>
              <w:t>. All other documents provided for herein or which the Administrative Agent or any other Lender may reasonably request or require.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left"/>
              <w:rPr/>
            </w:pPr>
            <w:r>
              <w:rPr>
                <w:u w:val="single"/>
              </w:rPr>
              <w:t>Additional Information</w:t>
            </w:r>
            <w:r>
              <w:rPr/>
              <w:t>. Such additional information and materials which the Administrative Agent and/or any Lender shall reasonably request or require.</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provisions of the last paragraph of Section 9.03, for purposes of determining compliance with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74.02      </w:t>
      </w:r>
      <w:r>
        <w:rPr>
          <w:rFonts w:ascii="Times New Roman;Times;Serif" w:hAnsi="Times New Roman;Times;Serif"/>
          <w:b/>
          <w:i w:val="false"/>
          <w:caps w:val="false"/>
          <w:smallCaps w:val="false"/>
          <w:sz w:val="20"/>
          <w:u w:val="single"/>
        </w:rPr>
        <w:t>Conditions to all Credit Extensions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each Lender and the L/C Issuer to honor any Request for Credit Extension is subject to the following conditions precedent:</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u w:val="single"/>
              </w:rPr>
              <w:t>Representations and Warranties</w:t>
            </w:r>
            <w:r>
              <w:rPr/>
              <w:t>. The representations and warranties of the Borrowers and each other Loan Party contained in Article II, Article V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 and except that for purposes of this Section 4.02, the representations and warranties contained in Sections 5.05(a) and (b) shall be deemed to refer to the most recent statements furnished pursuant to Sections 6.01(a) and (b), respectively, except that such representations and warranties that relate solely to an earlier date shall be true and correct as of such earlier date (or with respect to such representations and warranties that do not contain a materiality qualification, be true and correct in all material respects as of such earlier date).</w:t>
            </w:r>
          </w:p>
        </w:tc>
      </w:tr>
    </w:tbl>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left"/>
              <w:rPr/>
            </w:pPr>
            <w:r>
              <w:rPr>
                <w:u w:val="single"/>
              </w:rPr>
              <w:t>Default</w:t>
            </w:r>
            <w:r>
              <w:rPr/>
              <w:t>. No Default shall have occurred and be continuing, or would result from such proposed Credit Extension or from the application of the proceeds thereof.</w:t>
            </w:r>
          </w:p>
        </w:tc>
      </w:tr>
    </w:tbl>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left"/>
              <w:rPr/>
            </w:pPr>
            <w:r>
              <w:rPr>
                <w:u w:val="single"/>
              </w:rPr>
              <w:t>Request for Credit Extension</w:t>
            </w:r>
            <w:r>
              <w:rPr/>
              <w:t>. The Administrative Agent and, if applicable, the L/C Issuer or the Swingline Lender, shall have received a Request for Credit Extension in accordance with the requirements hereof.</w:t>
            </w:r>
          </w:p>
        </w:tc>
      </w:tr>
    </w:tbl>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left"/>
              <w:rPr/>
            </w:pPr>
            <w:r>
              <w:rPr>
                <w:u w:val="single"/>
              </w:rPr>
              <w:t>Designated Borrower</w:t>
            </w:r>
            <w:r>
              <w:rPr/>
              <w:t>. If the applicable Borrower is a Designated Borrower, then the conditions of Section 2.18 to the designation of such Borrower as a Designated Borrower shall have been met to the satisfaction of the Administrative Agent.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(e)</w:t>
            </w:r>
          </w:p>
        </w:tc>
        <w:tc>
          <w:tcPr>
            <w:tcW w:w="9924" w:type="dxa"/>
            <w:tcBorders/>
            <w:vAlign w:val="center"/>
          </w:tcPr>
          <w:p>
            <w:pPr>
              <w:pStyle w:val="TableContents"/>
              <w:bidi w:val="0"/>
              <w:spacing w:before="0" w:after="283"/>
              <w:jc w:val="left"/>
              <w:rPr/>
            </w:pPr>
            <w:r>
              <w:rPr>
                <w:u w:val="single"/>
              </w:rPr>
              <w:t>Credit Extension of Alternative Currency</w:t>
            </w:r>
            <w:r>
              <w:rPr/>
              <w:t>. In the case of a Credit Extension to be denominated in an Alternative Currency, such currency remains an Eligible Currency.</w:t>
            </w:r>
          </w:p>
        </w:tc>
      </w:tr>
    </w:tbl>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left"/>
              <w:rPr/>
            </w:pPr>
            <w:r>
              <w:rPr>
                <w:u w:val="single"/>
              </w:rPr>
              <w:t>Legal Impediment</w:t>
            </w:r>
            <w:r>
              <w:rPr/>
              <w:t>. There shall be no impediment, restriction, limitation or prohibition imposed under Law or by any Governmental Authority, as to the proposed financing under the Loan Documents or the repayment thereof or as to rights created under any Loan Document or as to application of the proceeds of the realization of any such rights.</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Request for Credit Extension submitted by any Borrower shall be deemed to be a representation and warranty that the conditions specified in Sections 4.02(a) and (b) have been satisfied on and as of the date of the applicable Credit Extension.</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LXXV</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represents and warrants to the Administrative Agent and the Lenders, as of the date made or deemed made, that: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75.01      </w:t>
      </w:r>
      <w:r>
        <w:rPr>
          <w:rFonts w:ascii="Times New Roman;Times;Serif" w:hAnsi="Times New Roman;Times;Serif"/>
          <w:b/>
          <w:i w:val="false"/>
          <w:caps w:val="false"/>
          <w:smallCaps w:val="false"/>
          <w:sz w:val="20"/>
          <w:u w:val="single"/>
        </w:rPr>
        <w:t>Existence, Qualification and Power</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(a) (with respect to Subsidiaries that are not Loan Parties) (b)(i) or (c), to the extent that failure to do so could not reasonably be expected to have a Material Adverse Effect. The copy of the Organization Documents of each Loan Party provided to the Administrative Agent pursuant to the terms of Section 4.01(b) is a true and correct copy of each such document as of the Closing Date, each of which is valid and in full force and effect as of the Closing Date.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75.02      </w:t>
      </w:r>
      <w:r>
        <w:rPr>
          <w:rFonts w:ascii="Times New Roman;Times;Serif" w:hAnsi="Times New Roman;Times;Serif"/>
          <w:b/>
          <w:i w:val="false"/>
          <w:caps w:val="false"/>
          <w:smallCaps w:val="false"/>
          <w:sz w:val="20"/>
          <w:u w:val="single"/>
        </w:rPr>
        <w:t>Authorization; No Contravention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each Loan Party of each Loan Document to which such Person is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except for any conflict, breach or contravention that, either individually or in the aggregate, could not reasonably be expected to have a Material Adverse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or (ii) any order, injunction, writ or decree of any Governmental Authority or any arbitral award to which such Person or its property is subject; or (c) violate any Law in any material respect.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75.03      </w:t>
      </w:r>
      <w:r>
        <w:rPr>
          <w:rFonts w:ascii="Times New Roman;Times;Serif" w:hAnsi="Times New Roman;Times;Serif"/>
          <w:b/>
          <w:i w:val="false"/>
          <w:caps w:val="false"/>
          <w:smallCaps w:val="false"/>
          <w:sz w:val="20"/>
          <w:u w:val="single"/>
        </w:rPr>
        <w:t>Governmental Authorization; Other Consents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and (ii) filings to perfect the Liens created by the Collateral Documents.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75.04      </w:t>
      </w:r>
      <w:r>
        <w:rPr>
          <w:rFonts w:ascii="Times New Roman;Times;Serif" w:hAnsi="Times New Roman;Times;Serif"/>
          <w:b/>
          <w:i w:val="false"/>
          <w:caps w:val="false"/>
          <w:smallCaps w:val="false"/>
          <w:sz w:val="20"/>
          <w:u w:val="single"/>
        </w:rPr>
        <w:t>Binding Effect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principals of equity.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75.05      </w:t>
      </w:r>
      <w:r>
        <w:rPr>
          <w:rFonts w:ascii="Times New Roman;Times;Serif" w:hAnsi="Times New Roman;Times;Serif"/>
          <w:b/>
          <w:i w:val="false"/>
          <w:caps w:val="false"/>
          <w:smallCaps w:val="false"/>
          <w:sz w:val="20"/>
          <w:u w:val="single"/>
        </w:rPr>
        <w:t>Financial Statements; No Material Adverse Effect</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u w:val="single"/>
              </w:rPr>
              <w:t>Audited Financial Statements</w:t>
            </w:r>
            <w:r>
              <w:rPr/>
              <w:t>. The Audited Financial Statements (i) were prepared in accordance with GAAP consistently applied throughout the period covered thereby, except as otherwise expressly noted therein; (ii) fairly present in all material respects the financial condition of the Parent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Parent and its Subsidiaries as of the date thereof, including liabilities for taxes, material commitments and Indebtedness.</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u w:val="single"/>
              </w:rPr>
              <w:t>Quarterly Financial Statements</w:t>
            </w:r>
            <w:r>
              <w:rPr/>
              <w:t>. The unaudited Consolidated balance sheets of the Parent and its Subsidiaries dated July 31, 2018, and the related Consolidated statements of income or operations, shareholders’ equity and cash flows for the fiscal quarter ended on that date (i) were prepared in accordance with GAAP consistently applied throughout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covered thereby, except as otherwise expressly noted therein, and (ii) fairly present in all material respects the financial condition of the Parent and its Subsidiaries as of the date thereof and their results of operations, cash flows and changes in shareholders’ equity for the period covered thereby, subject, in the case of clauses (i) and (ii), to the absence of footnotes and to normal year-end audit adjustments.</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u w:val="single"/>
              </w:rPr>
              <w:t>Material Adverse Effect</w:t>
            </w:r>
            <w:r>
              <w:rPr/>
              <w:t>. Since the date of the balance sheet included in the Audited Financial Statements, there has been no event or circumstance, either individually or in the aggregate, that has had or could reasonably be expected to have a Material Adverse Effect.</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(d)</w:t>
            </w:r>
          </w:p>
        </w:tc>
        <w:tc>
          <w:tcPr>
            <w:tcW w:w="9939" w:type="dxa"/>
            <w:tcBorders/>
            <w:vAlign w:val="center"/>
          </w:tcPr>
          <w:p>
            <w:pPr>
              <w:pStyle w:val="TableContents"/>
              <w:bidi w:val="0"/>
              <w:spacing w:before="0" w:after="283"/>
              <w:jc w:val="left"/>
              <w:rPr/>
            </w:pPr>
            <w:r>
              <w:rPr>
                <w:u w:val="single"/>
              </w:rPr>
              <w:t>Forecasted Financials</w:t>
            </w:r>
            <w:r>
              <w:rPr/>
              <w:t>. The Consolidated forecasted balance sheets, statements of income and cash flows of the Parent and its Subsidiaries delivered pursuant to Section 4.01 or Section 6.01 were prepared in good faith on the basis of the assumptions stated therein, which assumptions were fair in light of the conditions existing at the time of delivery of such forecasts, and represented, at the time of delivery, the Parent’s good faith estimate of its future financial condition and performance.</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75.06     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actions, suits, proceedings, claims or disputes pending or, to the knowledge of the Loan Parties after reasonably diligent investigation, threatened,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 except for the Watch Tariff Matter.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75.07      </w:t>
      </w:r>
      <w:r>
        <w:rPr>
          <w:rFonts w:ascii="Times New Roman;Times;Serif" w:hAnsi="Times New Roman;Times;Serif"/>
          <w:b/>
          <w:i w:val="false"/>
          <w:caps w:val="false"/>
          <w:smallCaps w:val="false"/>
          <w:sz w:val="20"/>
          <w:u w:val="single"/>
        </w:rPr>
        <w:t>No Default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75.08      </w:t>
      </w:r>
      <w:r>
        <w:rPr>
          <w:rFonts w:ascii="Times New Roman;Times;Serif" w:hAnsi="Times New Roman;Times;Serif"/>
          <w:b/>
          <w:i w:val="false"/>
          <w:caps w:val="false"/>
          <w:smallCaps w:val="false"/>
          <w:sz w:val="20"/>
          <w:u w:val="single"/>
        </w:rPr>
        <w:t>Ownership of Property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75.09      </w:t>
      </w:r>
      <w:r>
        <w:rPr>
          <w:rFonts w:ascii="Times New Roman;Times;Serif" w:hAnsi="Times New Roman;Times;Serif"/>
          <w:b/>
          <w:i w:val="false"/>
          <w:caps w:val="false"/>
          <w:smallCaps w:val="false"/>
          <w:sz w:val="20"/>
          <w:u w:val="single"/>
        </w:rPr>
        <w:t>Environmental Compliance</w:t>
      </w:r>
      <w:r>
        <w:rPr>
          <w:rFonts w:ascii="Times New Roman;Times;Serif" w:hAnsi="Times New Roman;Times;Serif"/>
          <w:b w:val="false"/>
          <w:i w:val="false"/>
          <w:caps w:val="false"/>
          <w:smallCaps w:val="false"/>
          <w:sz w:val="20"/>
        </w:rPr>
        <w: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left"/>
              <w:rPr/>
            </w:pPr>
            <w:r>
              <w:rPr/>
              <w:t>The Loan Parties and their respective Subsidiaries review in the ordinary course of business the effect of existing Environmental Laws and claims alleging potential liability or responsibility for violation of any Environmental Law on their respective businesses, operations and properties, and as a result thereof the Loan Parties have reasonably concluded that such Environmental Laws and claims could not, individually or in the aggregate, reasonably be expected to have a Material Adverse Effect.</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left"/>
              <w:rPr/>
            </w:pPr>
            <w:r>
              <w:rPr/>
              <w:t>Neither any Loan Party nor any of its Subsidiaries is undertaking,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that could, individually or in the aggregate, reasonably be expected to have a Material Adverse Effect; and all Hazardous Materials generated, used, treated, handled or stored at, or transported to or from, any property currently or formerly owned or operated by any Loan Party or any of its Subsidiaries have been disposed of in a manner not reasonably expected to result in liability to any Loan Party or any of its Subsidiaries that could, individually or in the aggregate, reasonably be expected to have a Material Adverse Effect.</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75.10     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properties of the Borrowers and their Subsidiaries are insured with financially sound and reputable insurance companies not Affiliates of the Borrowers, in such amounts, with such deductibles and covering such risks as are customarily carried by companies engaged in similar businesses and owning similar properties in localities where the applicable Loan Party or the applicable Subsidiary operates. Such insurance coverage of the Loan Parties as in effect on the Closing Date is outlined as to carrier, policy number, expiration date, type, and amount on </w:t>
      </w:r>
      <w:r>
        <w:rPr>
          <w:rFonts w:ascii="Times New Roman;Times;Serif" w:hAnsi="Times New Roman;Times;Serif"/>
          <w:b w:val="false"/>
          <w:i w:val="false"/>
          <w:caps w:val="false"/>
          <w:smallCaps w:val="false"/>
          <w:sz w:val="20"/>
          <w:u w:val="single"/>
        </w:rPr>
        <w:t>Schedule 5.10</w:t>
      </w:r>
      <w:r>
        <w:rPr>
          <w:rFonts w:ascii="Times New Roman;Times;Serif" w:hAnsi="Times New Roman;Times;Serif"/>
          <w:b w:val="false"/>
          <w:i w:val="false"/>
          <w:caps w:val="false"/>
          <w:smallCaps w:val="false"/>
          <w:sz w:val="20"/>
        </w:rPr>
        <w:t xml:space="preserve"> and such insurance coverage complies with the requirements set forth in this Agreement and the other Loan Documents.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75.11     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has filed all federal, material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that would, if made, have a Material Adverse Effect, nor is there any tax sharing agreement applicable to any Loan Party. The filing and recording of any and all documents required to perfect the security interests granted to the Administrative Agent (for the ratable benefit of the Secured Parties) will not result in any documentary, stamp or other taxes.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75.12      </w:t>
      </w:r>
      <w:r>
        <w:rPr>
          <w:rFonts w:ascii="Times New Roman;Times;Serif" w:hAnsi="Times New Roman;Times;Serif"/>
          <w:b/>
          <w:i w:val="false"/>
          <w:caps w:val="false"/>
          <w:smallCaps w:val="false"/>
          <w:sz w:val="20"/>
          <w:u w:val="single"/>
        </w:rPr>
        <w:t>ERISA Compliance</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t>Each Plan is in compliance in all material respects with the applicable provisions of ERISA, the Code and other federal or state laws, except for such non-compliance as could not reasonably be expected to result in any liability in excess of the Threshold Amount.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best knowledge of the Loan Parties, nothing has occurred that would prevent or cause the loss of such tax-qualified status, except where the lack or absence of such qualification could not reasonably be expected to result in any liability in excess of the Threshold Amount.</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There are no pending or, to the best knowledge of the Loan Parties, threatened claims, actions or lawsuits, or action by any Governmental Authority, with respect to any Plan that could reasonably be expected to result in any liability in excess of the Threshold Amount. There has been no prohibited transaction or violation of the fiduciary responsibility rules with respect to any Plan that has resulted or could reasonably be expected to result in any liability in excess of the Threshold Amount.</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left"/>
              <w:rPr/>
            </w:pPr>
            <w:r>
              <w:rPr/>
              <w:t>Except as could not reasonably be expected to result in any liability in excess of the Threshold Amount, no ERISA Event has occurred, and no Loan Party nor any ERISA Affiliate is aware of any fact, event or circumstance that could reasonably be expected to constitute or result in an ERISA Event with respect to any Pension Plan.</w:t>
            </w:r>
          </w:p>
        </w:tc>
      </w:tr>
    </w:tbl>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(d)</w:t>
            </w:r>
          </w:p>
        </w:tc>
        <w:tc>
          <w:tcPr>
            <w:tcW w:w="9934" w:type="dxa"/>
            <w:tcBorders/>
            <w:vAlign w:val="center"/>
          </w:tcPr>
          <w:p>
            <w:pPr>
              <w:pStyle w:val="TableContents"/>
              <w:bidi w:val="0"/>
              <w:spacing w:before="0" w:after="283"/>
              <w:jc w:val="left"/>
              <w:rPr/>
            </w:pPr>
            <w:r>
              <w:rPr/>
              <w:t xml:space="preserve">Neither the Borrowers nor any ERISA Affiliate maintains or contributes to, or has any unsatisfied obligation to contribute to, or liability under, any active or terminated Pension Plan other than (i) on the Closing Date, those listed on </w:t>
            </w:r>
            <w:r>
              <w:rPr>
                <w:u w:val="single"/>
              </w:rPr>
              <w:t>Schedule 5.12</w:t>
            </w:r>
            <w:r>
              <w:rPr/>
              <w:t xml:space="preserve"> hereto and (ii) thereafter, Pension Plans that do not result in any representation contained in this Section 5.12 being untrue.</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left"/>
              <w:rPr/>
            </w:pPr>
            <w:r>
              <w:rPr/>
              <w:t>With respect to each scheme or arrangement mandated by a government other than the United States (a “</w:t>
            </w:r>
            <w:r>
              <w:rPr>
                <w:u w:val="single"/>
              </w:rPr>
              <w:t>Foreign Government Scheme or Arrangement</w:t>
            </w:r>
            <w:r>
              <w:rPr/>
              <w:t>”) and with respect to each employee benefit plan maintained or contributed to by any Loan Party or any Subsidiary of any Loan Party that is not subject to United States law (a “</w:t>
            </w:r>
            <w:r>
              <w:rPr>
                <w:u w:val="single"/>
              </w:rPr>
              <w:t>Foreign Plan</w:t>
            </w:r>
            <w:r>
              <w:rPr/>
              <w:t>”), except, in each case, as could not reasonably be expected to result in any liability in excess of the Threshold Amount: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LXXVI</w:t>
      </w:r>
      <w:r>
        <w:rPr>
          <w:rFonts w:ascii="Times New Roman;Times;Serif" w:hAnsi="Times New Roman;Times;Serif"/>
          <w:b w:val="false"/>
          <w:i w:val="false"/>
          <w:caps w:val="false"/>
          <w:smallCaps w:val="false"/>
          <w:sz w:val="20"/>
        </w:rPr>
        <w:t xml:space="preserve"> any employer and employee contributions required by law or by the terms of any Foreign Government Scheme or Arrangement or any Foreign Plan have been made, or, if applicable, accrued, in accordance with normal accounting practices;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LXXVII </w:t>
      </w:r>
      <w:r>
        <w:rPr>
          <w:rFonts w:ascii="Times New Roman;Times;Serif" w:hAnsi="Times New Roman;Times;Serif"/>
          <w:b w:val="false"/>
          <w:i w:val="false"/>
          <w:caps w:val="false"/>
          <w:smallCaps w:val="false"/>
          <w:sz w:val="20"/>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LXXVIII</w:t>
      </w:r>
      <w:r>
        <w:rPr>
          <w:rFonts w:ascii="Times New Roman;Times;Serif" w:hAnsi="Times New Roman;Times;Serif"/>
          <w:b w:val="false"/>
          <w:i w:val="false"/>
          <w:caps w:val="false"/>
          <w:smallCaps w:val="false"/>
          <w:sz w:val="20"/>
        </w:rPr>
        <w:t xml:space="preserve"> each Foreign Plan required to be registered has been registered and has been maintained in good standing with applicable regulatory authorities.</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Each Borrower represents and warrants as of the Closing Date that the Borrowers are not and will not be using “plan assets” (within the meaning of 29 CFR § 2510.3-101, as modified by Section 3(42) of ERISA) of one or more Benefit Plans in connection with the Revolving Loans, the Letters of Credit or the Revolving Commitments.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78.02      </w:t>
      </w:r>
      <w:r>
        <w:rPr>
          <w:rFonts w:ascii="Times New Roman;Times;Serif" w:hAnsi="Times New Roman;Times;Serif"/>
          <w:b/>
          <w:i w:val="false"/>
          <w:caps w:val="false"/>
          <w:smallCaps w:val="false"/>
          <w:sz w:val="20"/>
          <w:u w:val="single"/>
        </w:rPr>
        <w:t>Margin Regulations; Investment Company Act</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u w:val="single"/>
              </w:rPr>
              <w:t>Margin Regulations</w:t>
            </w:r>
            <w:r>
              <w:rPr/>
              <w:t>. The Borrowers are not engaged and will not engage, principally or as one of their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twenty-five percent (25%) of the value of the assets (either of the Borrowers only or of the Borrowers and their Subsidiaries on a Consolidated basis) subject to the provisions of Section 7.01 or Section 7.05 or subject to any restriction contained in any agreement or instrument between the Borrowers and any Lender or any Affiliate of any Lender relating to Indebtedness and within the scope of Section 8.01(e) will be margin stock.</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left"/>
              <w:rPr/>
            </w:pPr>
            <w:r>
              <w:rPr>
                <w:u w:val="single"/>
              </w:rPr>
              <w:t>Investment Company Act</w:t>
            </w:r>
            <w:r>
              <w:rPr/>
              <w:t>. None of the Borrowers, any Person Controlling the Borrowers, or any Subsidiary is or is required to be registered as an “investment company” under the Investment Company Act of 1940.</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78.03     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Borrower has disclosed to the Administrative Agent and the Lenders all agreements, instruments and corporate or other restrictions to which it or any of its Subsidiaries or any other Loan Party is subject, and all other matters known to it, that, individually or in the aggregate, could reasonably be expected to result in a Material Adverse Effect. No written report, financial statement, certificate or other written information (other than financial models, other forward-looking information and information of a general economic or industry-specific</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nature)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(after giving effect to all supplements thereto) in any material respect;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each Loan Party represents only that such information was prepared in good faith based upon assumptions believed to be reasonable at the time.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78.04     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and each Subsidiary thereof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78.05     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and its Subsidiaries on a Consolidated basis are Solvent.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78.06      </w:t>
      </w:r>
      <w:r>
        <w:rPr>
          <w:rFonts w:ascii="Times New Roman;Times;Serif" w:hAnsi="Times New Roman;Times;Serif"/>
          <w:b/>
          <w:i w:val="false"/>
          <w:caps w:val="false"/>
          <w:smallCaps w:val="false"/>
          <w:sz w:val="20"/>
          <w:u w:val="single"/>
        </w:rPr>
        <w:t>Casualty, Etc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tbl>
      <w:tblPr>
        <w:tblW w:w="5000" w:type="pct"/>
        <w:jc w:val="left"/>
        <w:tblInd w:w="0" w:type="dxa"/>
        <w:tblLayout w:type="fixed"/>
        <w:tblCellMar>
          <w:top w:w="0" w:type="dxa"/>
          <w:left w:w="0" w:type="dxa"/>
          <w:bottom w:w="0" w:type="dxa"/>
          <w:right w:w="0" w:type="dxa"/>
        </w:tblCellMar>
      </w:tblPr>
      <w:tblGrid>
        <w:gridCol w:w="83"/>
        <w:gridCol w:w="1236"/>
        <w:gridCol w:w="8886"/>
      </w:tblGrid>
      <w:tr>
        <w:trPr/>
        <w:tc>
          <w:tcPr>
            <w:tcW w:w="8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pPr>
            <w:r>
              <w:rPr/>
              <w:t>78.07</w:t>
            </w:r>
          </w:p>
        </w:tc>
        <w:tc>
          <w:tcPr>
            <w:tcW w:w="8886" w:type="dxa"/>
            <w:tcBorders/>
            <w:vAlign w:val="center"/>
          </w:tcPr>
          <w:p>
            <w:pPr>
              <w:pStyle w:val="TableContents"/>
              <w:bidi w:val="0"/>
              <w:spacing w:before="0" w:after="283"/>
              <w:jc w:val="left"/>
              <w:rPr/>
            </w:pPr>
            <w:r>
              <w:rPr>
                <w:rFonts w:ascii="Times New Roman;Times;Serif" w:hAnsi="Times New Roman;Times;Serif"/>
                <w:b/>
                <w:sz w:val="20"/>
                <w:u w:val="single"/>
              </w:rPr>
              <w:t>Sanctions Concerns and Anti-Corruption Laws</w:t>
            </w:r>
            <w:r>
              <w:rPr/>
              <w:t>.</w:t>
            </w:r>
          </w:p>
        </w:tc>
      </w:tr>
    </w:tbl>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u w:val="single"/>
              </w:rPr>
              <w:t>Sanctions Concerns</w:t>
            </w:r>
            <w:r>
              <w:rPr/>
              <w:t>. No Loan Party, nor any Subsidiary, nor, to the knowledge of the Loan Parties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The Borrowers and their respective Subsidiaries (i) conduct their businesses in compliance in all material respects with all applicable Sanctions, (ii) during the period not barred by applicable statutes of limitation, have conducted their businesses in compliance in all material respects with all applicable Sanctions and (iii) have instituted and maintained policies and procedures</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designed to promote and achieve compliance with all applicable Sanctions.</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left"/>
              <w:rPr/>
            </w:pPr>
            <w:r>
              <w:rPr>
                <w:u w:val="single"/>
              </w:rPr>
              <w:t>Anti-Corruption Laws</w:t>
            </w:r>
            <w:r>
              <w:rPr/>
              <w:t>. The Loan Parties and their Subsidiaries have conducted their business in compliance with the United States Foreign Corrupt Practices Act of 1977, the UK Bribery Act 2010 and other applicable anti-corruption legislation or anti-money laundering legislation in other jurisdictions, and have instituted and maintained policies and procedures designed to promote and achieve compliance with such laws.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78.08      </w:t>
      </w:r>
      <w:r>
        <w:rPr>
          <w:rFonts w:ascii="Times New Roman;Times;Serif" w:hAnsi="Times New Roman;Times;Serif"/>
          <w:b/>
          <w:i w:val="false"/>
          <w:caps w:val="false"/>
          <w:smallCaps w:val="false"/>
          <w:sz w:val="20"/>
          <w:u w:val="single"/>
        </w:rPr>
        <w:t>Responsible Officers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Schedule 1.01(c)</w:t>
      </w:r>
      <w:r>
        <w:rPr>
          <w:rFonts w:ascii="Times New Roman;Times;Serif" w:hAnsi="Times New Roman;Times;Serif"/>
          <w:b w:val="false"/>
          <w:i w:val="false"/>
          <w:caps w:val="false"/>
          <w:smallCaps w:val="false"/>
          <w:sz w:val="20"/>
        </w:rPr>
        <w:t xml:space="preserve"> are Responsible Officers, holding the offices indicated next to their respective names, as of the Closing Date and as of the last date such Schedule was required to be updated in accordance with Section 6.02 and such Responsible Officers are the duly elected and qualified officers or duly appointed authorized signatories of such Loan Party and are duly authorized to execute and deliver, on behalf of the respective Loan Party, this Agreement, the Notes and the other Loan Documents.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78.09      </w:t>
      </w:r>
      <w:r>
        <w:rPr>
          <w:rFonts w:ascii="Times New Roman;Times;Serif" w:hAnsi="Times New Roman;Times;Serif"/>
          <w:b/>
          <w:i w:val="false"/>
          <w:caps w:val="false"/>
          <w:smallCaps w:val="false"/>
          <w:sz w:val="20"/>
          <w:u w:val="single"/>
        </w:rPr>
        <w:t>Subsidiaries; Equity Interests; Loan Parties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u w:val="single"/>
              </w:rPr>
              <w:t>Subsidiaries, Joint Ventures, Partnerships and Equity Investments</w:t>
            </w:r>
            <w:r>
              <w:rPr/>
              <w:t xml:space="preserve">. Set forth on Schedule 5.20(a), is the following information which is true and complete in all respects as of the Closing Date and as of the last date such Schedule was required to be updated in accordance with Section 6.02: (i) a complete and accurate list of all Subsidiaries, joint ventures and partnerships and other equity investments of the Loan Parties as of the Closing Date </w:t>
            </w:r>
            <w:r>
              <w:rPr>
                <w:strike/>
                <w:color w:val="FF0000"/>
              </w:rPr>
              <w:t>and as of the last date such Schedule was required to be updated in accordance with Section 6.02</w:t>
            </w:r>
            <w:r>
              <w:rPr/>
              <w:t>, (ii) the number of shares of each class of Equity Interests in each Loan Party outstanding, (iii) the percentage of outstanding shares of each class of Equity Interests owned by the Loan Parties and their Subsidiaries and (iv) the class or nature of such Equity Interests in each Loan Party (i.e. voting, non-voting, preferred, etc.). The outstanding Equity Interests in all Subsidiaries are validly issued, fully paid and non-assessable (to the extent such concepts are applicable) and are owned free and clear of all Liens other than Permitted Liens. There are no outstanding subscriptions, options, warrants, calls, rights or other agreements or commitments (other than stock options granted to employees or directors and directors’, buy/sell and put/call provisions in joint venture agreements and nominees’ shares required under applicable Law) of any nature relating to the Equity Interests of any Loan Party or any Subsidiary thereof, except as permitted under the Loan Documents.</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left"/>
              <w:rPr/>
            </w:pPr>
            <w:r>
              <w:rPr>
                <w:u w:val="single"/>
              </w:rPr>
              <w:t>Loan Parties</w:t>
            </w:r>
            <w:r>
              <w:rPr/>
              <w:t xml:space="preserve">. Set forth on </w:t>
            </w:r>
            <w:r>
              <w:rPr>
                <w:u w:val="single"/>
              </w:rPr>
              <w:t>Schedule 5.20(b)</w:t>
            </w:r>
            <w:r>
              <w:rPr/>
              <w:t xml:space="preserve"> is a complete and accurate list of all Loan Parties, showing as of the Closing Date</w:t>
            </w:r>
            <w:r>
              <w:rPr>
                <w:strike/>
                <w:color w:val="FF0000"/>
              </w:rPr>
              <w:t xml:space="preserve">, or as of the last date such Schedule was required to be updated in accordance with Section 6.02 </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each Loan Party), (i) the exact legal name, (ii) any former legal names of such Loan Party in the four (4) months prior to the Closing Date, (iii) the jurisdiction of its incorporation or organization, as applicable, (iv) the type of organization, (v) the jurisdictions in which such Loan Party is qualified to do business, (vi) the address of its chief executive office, (vii) the address of its principal place of business, (viii) its U.S. federal taxpayer identification number or, in the case of any non-U.S. Loan Party that does not have a U.S. taxpayer identification number, its unique identification number issued to it by the jurisdiction of its incorporation or organization, (ix) the organization identification number, (x) ownership information (e.g. publicly held or if private or partnership, the owners and partners of each of the Loan Parties) and (xi) the industry or nature of business of such Loan Party.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78.10      </w:t>
      </w:r>
      <w:r>
        <w:rPr>
          <w:rFonts w:ascii="Times New Roman;Times;Serif" w:hAnsi="Times New Roman;Times;Serif"/>
          <w:b/>
          <w:i w:val="false"/>
          <w:caps w:val="false"/>
          <w:smallCaps w:val="false"/>
          <w:sz w:val="20"/>
          <w:u w:val="single"/>
        </w:rPr>
        <w:t>Collateral Representations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u w:val="single"/>
              </w:rPr>
              <w:t>Collateral Documents</w:t>
            </w:r>
            <w:r>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to the extent required by such Collateral Documents. Except for filings completed prior to the Closing Date and as contemplated hereby and by the Collateral Documents, no filing or other action will be necessary to perfect or protect such Liens.</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left"/>
              <w:rPr/>
            </w:pPr>
            <w:r>
              <w:rPr>
                <w:u w:val="single"/>
              </w:rPr>
              <w:t>Intellectual Property</w:t>
            </w:r>
            <w:r>
              <w:rPr/>
              <w:t xml:space="preserve">. Set forth on </w:t>
            </w:r>
            <w:r>
              <w:rPr>
                <w:u w:val="single"/>
              </w:rPr>
              <w:t>Schedule 5.21(b)</w:t>
            </w:r>
            <w:r>
              <w:rPr>
                <w:color w:val="0000FF"/>
                <w:u w:val="single"/>
              </w:rPr>
              <w:t>(i)</w:t>
            </w:r>
            <w:r>
              <w:rPr/>
              <w:t>, as of the Closing Date and as of the last date such Schedule was required to be updated in accordance with Section 6.02, is a list of all material registered or issued Intellectual Property in the United States (including all applications for registration and issuance and all domain names) owned by each of the Loan Parties.</w:t>
            </w:r>
          </w:p>
        </w:tc>
      </w:tr>
    </w:tbl>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left"/>
              <w:rPr/>
            </w:pPr>
            <w:r>
              <w:rPr>
                <w:u w:val="single"/>
              </w:rPr>
              <w:t>Pledged Equity Interests</w:t>
            </w:r>
            <w:r>
              <w:rPr/>
              <w:t xml:space="preserve">. Set forth on </w:t>
            </w:r>
            <w:r>
              <w:rPr>
                <w:u w:val="single"/>
              </w:rPr>
              <w:t>Schedule 5.21(c)</w:t>
            </w:r>
            <w:r>
              <w:rPr/>
              <w:t xml:space="preserve"> is a list as of the Closing Date of (i) all Pledged Equity and (ii) all other Equity Interests required to be pledged to the Administrative Agent pursuant to the Collateral Documents (in each case, detailing the Grantor (as defined in the Security Agreement)), the Person whose Equity Interests are pledged, the number of shares being pledged of each class of Equity Interests, the certificate number and percentage ownership of outstanding shares of each class of Equity Interests represented by the Equity Interests being pledged and the class or nature of the Equity Interests being pledged (i.e. voting, non-voting, preferred, etc.).</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left"/>
              <w:rPr/>
            </w:pPr>
            <w:r>
              <w:rPr>
                <w:u w:val="single"/>
              </w:rPr>
              <w:t>Properties</w:t>
            </w:r>
            <w:r>
              <w:rPr/>
              <w:t xml:space="preserve">. Set forth on </w:t>
            </w:r>
            <w:r>
              <w:rPr>
                <w:u w:val="single"/>
              </w:rPr>
              <w:t>Schedule 5.21(d)(i)</w:t>
            </w:r>
            <w:r>
              <w:rPr/>
              <w:t xml:space="preserve">, as of the Closing Date </w:t>
            </w:r>
            <w:r>
              <w:rPr>
                <w:strike/>
                <w:color w:val="FF0000"/>
              </w:rPr>
              <w:t>and as of the last date such Schedule was required to be updated in accordance with Section 6.02</w:t>
            </w:r>
            <w:r>
              <w:rPr/>
              <w:t>, is a list of all Real Properties (including (i) the name of</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Loan Party owning such Real Property, (ii) the number of buildings located on such Real Property, (iii) the property address, (iv) the city, county, state and zip code which such Real Property is located). Set forth on </w:t>
      </w:r>
      <w:r>
        <w:rPr>
          <w:rFonts w:ascii="Times New Roman;Times;Serif" w:hAnsi="Times New Roman;Times;Serif"/>
          <w:b w:val="false"/>
          <w:i w:val="false"/>
          <w:caps w:val="false"/>
          <w:smallCaps w:val="false"/>
          <w:sz w:val="20"/>
          <w:u w:val="single"/>
        </w:rPr>
        <w:t>Schedule 5.21(d)(ii)</w:t>
      </w:r>
      <w:r>
        <w:rPr>
          <w:rFonts w:ascii="Times New Roman;Times;Serif" w:hAnsi="Times New Roman;Times;Serif"/>
          <w:b w:val="false"/>
          <w:i w:val="false"/>
          <w:caps w:val="false"/>
          <w:smallCaps w:val="false"/>
          <w:sz w:val="20"/>
        </w:rPr>
        <w:t xml:space="preserve">, as of the Closing Date </w:t>
      </w:r>
      <w:r>
        <w:rPr>
          <w:rFonts w:ascii="Times New Roman;Times;Serif" w:hAnsi="Times New Roman;Times;Serif"/>
          <w:b w:val="false"/>
          <w:i w:val="false"/>
          <w:caps w:val="false"/>
          <w:smallCaps w:val="false"/>
          <w:strike/>
          <w:color w:val="FF0000"/>
          <w:sz w:val="20"/>
        </w:rPr>
        <w:t>and as of the last date such Schedule was required to be updated in accordance with Section 6.02</w:t>
      </w:r>
      <w:r>
        <w:rPr>
          <w:rFonts w:ascii="Times New Roman;Times;Serif" w:hAnsi="Times New Roman;Times;Serif"/>
          <w:b w:val="false"/>
          <w:i w:val="false"/>
          <w:caps w:val="false"/>
          <w:smallCaps w:val="false"/>
          <w:sz w:val="20"/>
        </w:rPr>
        <w:t>, is a list of (A) each headquarter location of the Loan Parties, (B) each other location where any significant administrative or governmental functions are performed, (C) each other location where the Loan Parties maintain any material books or records (electronic or otherwise) and (D) each location where any personal property Collateral is located at any premises owned or leased by a Loan Party with a Collateral value in excess of $2,000,000 (in each case, including (1) an indication if such location is leased or owned, (2), if leased, the name of the lessor, and if owned, the name of the Loan Party owning such property, (3) the address of such property (including, the city, state and zip code) and (4) to the extent owned, the approximate fair market value of such property).</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(e)</w:t>
            </w:r>
          </w:p>
        </w:tc>
        <w:tc>
          <w:tcPr>
            <w:tcW w:w="9924" w:type="dxa"/>
            <w:tcBorders/>
            <w:vAlign w:val="center"/>
          </w:tcPr>
          <w:p>
            <w:pPr>
              <w:pStyle w:val="TableContents"/>
              <w:bidi w:val="0"/>
              <w:spacing w:before="0" w:after="283"/>
              <w:jc w:val="left"/>
              <w:rPr/>
            </w:pPr>
            <w:r>
              <w:rPr>
                <w:u w:val="single"/>
              </w:rPr>
              <w:t>Material Contracts</w:t>
            </w:r>
            <w:r>
              <w:rPr/>
              <w:t xml:space="preserve">. Set forth on </w:t>
            </w:r>
            <w:r>
              <w:rPr>
                <w:u w:val="single"/>
              </w:rPr>
              <w:t>Schedule 5.21(e)</w:t>
            </w:r>
            <w:r>
              <w:rPr/>
              <w:t xml:space="preserve"> is a complete and accurate list of all Material Contracts of the Borrowers and their Subsidiaries as of the Closing Date.</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78.11      </w:t>
      </w:r>
      <w:r>
        <w:rPr>
          <w:rFonts w:ascii="Times New Roman;Times;Serif" w:hAnsi="Times New Roman;Times;Serif"/>
          <w:b/>
          <w:i w:val="false"/>
          <w:caps w:val="false"/>
          <w:smallCaps w:val="false"/>
          <w:sz w:val="20"/>
          <w:u w:val="single"/>
        </w:rPr>
        <w:t>Intellectual Property; Licenses, Etc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and each of its Subsidiaries own, or possess the right to use, all of the material trademarks, service marks, trade names, copyrights, patents, patent rights, franchises, licenses and other intellectual property rights that are reasonably necessary for the operation of their respective businesses, without conflict with the rights of any other Person. To the best knowledge of the Borrowers, no slogan or other advertising device, product, process, method, substance, part or other material now employed, or now contemplated to be employed, by any Loan Party or any of its Subsidiaries infringes upon any rights held by any other Person. No claim or litigation regarding any of the foregoing is pending or, to the best knowledge of the Borrowers, threatened, which, either individually or in the aggregate, could reasonably be expected to have a Material Adverse Effect.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78.12      </w:t>
      </w:r>
      <w:r>
        <w:rPr>
          <w:rFonts w:ascii="Times New Roman;Times;Serif" w:hAnsi="Times New Roman;Times;Serif"/>
          <w:b/>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no collective bargaining agreements or Multiemployer Plans covering the employees of the Borrowers or any of their Subsidiaries as of the </w:t>
      </w:r>
      <w:r>
        <w:rPr>
          <w:rFonts w:ascii="Times New Roman;Times;Serif" w:hAnsi="Times New Roman;Times;Serif"/>
          <w:b w:val="false"/>
          <w:i w:val="false"/>
          <w:caps w:val="false"/>
          <w:smallCaps w:val="false"/>
          <w:strike/>
          <w:color w:val="FF0000"/>
          <w:sz w:val="20"/>
        </w:rPr>
        <w:t>Fourth</w:t>
      </w:r>
      <w:r>
        <w:rPr>
          <w:rFonts w:ascii="Times New Roman;Times;Serif" w:hAnsi="Times New Roman;Times;Serif"/>
          <w:b w:val="false"/>
          <w:i w:val="false"/>
          <w:caps w:val="false"/>
          <w:smallCaps w:val="false"/>
          <w:color w:val="0000FF"/>
          <w:sz w:val="20"/>
          <w:u w:val="single"/>
        </w:rPr>
        <w:t>Seventh</w:t>
      </w:r>
      <w:r>
        <w:rPr>
          <w:rFonts w:ascii="Times New Roman;Times;Serif" w:hAnsi="Times New Roman;Times;Serif"/>
          <w:b w:val="false"/>
          <w:i w:val="false"/>
          <w:caps w:val="false"/>
          <w:smallCaps w:val="false"/>
          <w:sz w:val="20"/>
        </w:rPr>
        <w:t xml:space="preserve"> Amendment Effective Date and neither the Borrowers nor any Subsidiary has suffered any strikes, walkouts, work stoppages or other material labor difficulty within the last five (5) years preceding the </w:t>
      </w:r>
      <w:r>
        <w:rPr>
          <w:rFonts w:ascii="Times New Roman;Times;Serif" w:hAnsi="Times New Roman;Times;Serif"/>
          <w:b w:val="false"/>
          <w:i w:val="false"/>
          <w:caps w:val="false"/>
          <w:smallCaps w:val="false"/>
          <w:strike/>
          <w:color w:val="FF0000"/>
          <w:sz w:val="20"/>
        </w:rPr>
        <w:t>Fourth</w:t>
      </w:r>
      <w:r>
        <w:rPr>
          <w:rFonts w:ascii="Times New Roman;Times;Serif" w:hAnsi="Times New Roman;Times;Serif"/>
          <w:b w:val="false"/>
          <w:i w:val="false"/>
          <w:caps w:val="false"/>
          <w:smallCaps w:val="false"/>
          <w:color w:val="0000FF"/>
          <w:sz w:val="20"/>
          <w:u w:val="single"/>
        </w:rPr>
        <w:t>Seventh</w:t>
      </w:r>
      <w:r>
        <w:rPr>
          <w:rFonts w:ascii="Times New Roman;Times;Serif" w:hAnsi="Times New Roman;Times;Serif"/>
          <w:b w:val="false"/>
          <w:i w:val="false"/>
          <w:caps w:val="false"/>
          <w:smallCaps w:val="false"/>
          <w:sz w:val="20"/>
        </w:rPr>
        <w:t xml:space="preserve"> Amendment Effective Date.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78.13      </w:t>
      </w:r>
      <w:r>
        <w:rPr>
          <w:rFonts w:ascii="Times New Roman;Times;Serif" w:hAnsi="Times New Roman;Times;Serif"/>
          <w:b/>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w:t>
      </w:r>
      <w:r>
        <w:rPr>
          <w:rFonts w:ascii="Times New Roman;Times;Serif" w:hAnsi="Times New Roman;Times;Serif"/>
          <w:b w:val="false"/>
          <w:i w:val="false"/>
          <w:caps w:val="false"/>
          <w:smallCaps w:val="false"/>
          <w:strike/>
          <w:color w:val="FF0000"/>
          <w:sz w:val="20"/>
        </w:rPr>
        <w:t>Fourth</w:t>
      </w:r>
      <w:r>
        <w:rPr>
          <w:rFonts w:ascii="Times New Roman;Times;Serif" w:hAnsi="Times New Roman;Times;Serif"/>
          <w:b w:val="false"/>
          <w:i w:val="false"/>
          <w:caps w:val="false"/>
          <w:smallCaps w:val="false"/>
          <w:color w:val="0000FF"/>
          <w:sz w:val="20"/>
          <w:u w:val="single"/>
        </w:rPr>
        <w:t>Seventh</w:t>
      </w:r>
      <w:r>
        <w:rPr>
          <w:rFonts w:ascii="Times New Roman;Times;Serif" w:hAnsi="Times New Roman;Times;Serif"/>
          <w:b w:val="false"/>
          <w:i w:val="false"/>
          <w:caps w:val="false"/>
          <w:smallCaps w:val="false"/>
          <w:sz w:val="20"/>
        </w:rPr>
        <w:t xml:space="preserve"> Amendment Effective Date, the information included in any Beneficial Ownership Certification, if applicable, delivered to any Lender on or prior to the </w:t>
      </w:r>
      <w:r>
        <w:rPr>
          <w:rFonts w:ascii="Times New Roman;Times;Serif" w:hAnsi="Times New Roman;Times;Serif"/>
          <w:b w:val="false"/>
          <w:i w:val="false"/>
          <w:caps w:val="false"/>
          <w:smallCaps w:val="false"/>
          <w:strike/>
          <w:color w:val="FF0000"/>
          <w:sz w:val="20"/>
        </w:rPr>
        <w:t>Fourth</w:t>
      </w:r>
      <w:r>
        <w:rPr>
          <w:rFonts w:ascii="Times New Roman;Times;Serif" w:hAnsi="Times New Roman;Times;Serif"/>
          <w:b w:val="false"/>
          <w:i w:val="false"/>
          <w:caps w:val="false"/>
          <w:smallCaps w:val="false"/>
          <w:color w:val="0000FF"/>
          <w:sz w:val="20"/>
          <w:u w:val="single"/>
        </w:rPr>
        <w:t>Seventh</w:t>
      </w:r>
      <w:r>
        <w:rPr>
          <w:rFonts w:ascii="Times New Roman;Times;Serif" w:hAnsi="Times New Roman;Times;Serif"/>
          <w:b w:val="false"/>
          <w:i w:val="false"/>
          <w:caps w:val="false"/>
          <w:smallCaps w:val="false"/>
          <w:sz w:val="20"/>
        </w:rPr>
        <w:t xml:space="preserve"> Amendment Effective Date, is true and correct in all respects.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78.14      </w:t>
      </w:r>
      <w:r>
        <w:rPr>
          <w:rFonts w:ascii="Times New Roman;Times;Serif" w:hAnsi="Times New Roman;Times;Serif"/>
          <w:b/>
          <w:i w:val="false"/>
          <w:caps w:val="false"/>
          <w:smallCaps w:val="false"/>
          <w:sz w:val="20"/>
          <w:u w:val="single"/>
        </w:rPr>
        <w:t>Affected Financial Institutions; Covered Entities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Loan Party is an Affected Financial Institution. No Loan Party is a Covered Entity.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78.15      </w:t>
      </w:r>
      <w:r>
        <w:rPr>
          <w:rFonts w:ascii="Times New Roman;Times;Serif" w:hAnsi="Times New Roman;Times;Serif"/>
          <w:b/>
          <w:i w:val="false"/>
          <w:caps w:val="false"/>
          <w:smallCaps w:val="false"/>
          <w:sz w:val="20"/>
          <w:u w:val="single"/>
        </w:rPr>
        <w:t>Representations as to Foreign Obligors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Parent and each Foreign Obligor represents and warrants to the Administrative Agent and the Lenders that:</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left"/>
              <w:rPr/>
            </w:pPr>
            <w:r>
              <w:rPr/>
              <w:t>Such Foreign Obligor is subject to civil and commercial Laws with respect to its obligations under this Agreement and the other Loan Documents to which it is a party (collectively as to such Foreign Obligor, the “</w:t>
            </w:r>
            <w:r>
              <w:rPr>
                <w:u w:val="single"/>
              </w:rPr>
              <w:t>Applicable Foreign Obligor Documents</w:t>
            </w:r>
            <w:r>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left"/>
              <w:rPr/>
            </w:pPr>
            <w:r>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tc>
      </w:tr>
    </w:tbl>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left"/>
              <w:rPr/>
            </w:pPr>
            <w:r>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Obligor Documents, except as has been disclosed to the Administrative Agent.</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left"/>
              <w:rPr/>
            </w:pPr>
            <w:r>
              <w:rPr/>
              <w:t>Each Swiss Loan Party is in compliance with the Swiss Non-Bank Rules, provided that a Swiss Borrower shall not be in breach of this representation if its number of creditors in respect of the Swiss 10 Non-Bank Rule is exceeded solely by reason of (i) a failure by one or more Lenders to comply with their obligations under paragraph (b)(iii) of Section 11.06 or (ii) an initial Lender ceasing to be a Swiss Qualifying Bank other than as a result of any change after the date it became an initial Lender under this Agreement in (or in the interpretation, administration, or application of) any law or treaty, or any published practice or published concession of any relevant taxing authority. For the purposes of compliance with this representation each Swiss Borrower shall assume that at any time there may be up to 10 (ten) creditors that are Swiss Non-Qualifying Banks under this Agreement (irrespective of whether or not there are, at any time, any creditors which are Swiss Non-Qualifying Banks).</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5" w:type="dxa"/>
            <w:tcBorders/>
            <w:vAlign w:val="center"/>
          </w:tcPr>
          <w:p>
            <w:pPr>
              <w:pStyle w:val="TableContents"/>
              <w:bidi w:val="0"/>
              <w:spacing w:before="0" w:after="283"/>
              <w:jc w:val="left"/>
              <w:rPr/>
            </w:pPr>
            <w:r>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tc>
      </w:tr>
    </w:tbl>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left"/>
              <w:rPr/>
            </w:pPr>
            <w:r>
              <w:rPr/>
              <w:t>The choice of the law of the State of New York as the governing law of the Loan Documents will be recognized and enforced in each Foreign Borrower’s jurisdiction of incorporation and any judgment obtained in New York in relation to a Loan Document will be recognized and enforced in the Foreign Borrower’s jurisdiction of incorporation. Under the Laws of the jurisdiction in which each Foreign Borrower is incorporated it is not necessary that the Loan Documents be filed, recorded or enrolled with any court or other authority in that jurisdiction or that any stamp, registration or similar tax be paid on or in relation to the Loan Documents or the transactions contemplated by the Loan Documents.</w:t>
            </w:r>
          </w:p>
        </w:tc>
      </w:tr>
    </w:tbl>
    <w:p>
      <w:pPr>
        <w:pStyle w:val="TextBody"/>
        <w:bidi w:val="0"/>
        <w:spacing w:before="0" w:after="24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rPr>
        <w:t xml:space="preserve">78.16        </w:t>
      </w:r>
      <w:r>
        <w:rPr>
          <w:rFonts w:ascii="Times New Roman;Times;Serif" w:hAnsi="Times New Roman;Times;Serif"/>
          <w:b/>
          <w:i w:val="false"/>
          <w:caps w:val="false"/>
          <w:smallCaps w:val="false"/>
          <w:color w:val="0000FF"/>
          <w:sz w:val="20"/>
          <w:u w:val="single"/>
        </w:rPr>
        <w:t>Outbound Investment Rules</w:t>
      </w:r>
      <w:r>
        <w:rPr>
          <w:rFonts w:ascii="Times New Roman;Times;Serif" w:hAnsi="Times New Roman;Times;Serif"/>
          <w:b w:val="false"/>
          <w:i w:val="false"/>
          <w:caps w:val="false"/>
          <w:smallCaps w:val="false"/>
          <w:color w:val="0000FF"/>
          <w:sz w:val="20"/>
          <w:u w:val="single"/>
        </w:rPr>
        <w:t xml:space="preserve">. </w:t>
      </w:r>
    </w:p>
    <w:p>
      <w:pPr>
        <w:pStyle w:val="TextBody"/>
        <w:bidi w:val="0"/>
        <w:spacing w:before="0" w:after="240"/>
        <w:ind w:left="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 Borrower or any Subsidiary of any Borrower is a “covered foreign person” as that term is used in the Outbound Investment Rules. No Borrower or any Subsidiary of any Borrower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transaction”, as each such term is defined in the Outbound Investment Rules or (c) any other activity that would cause the Administrative Agent or any Lender to be in violation of the Outbound Investment Rules or cause the Administrative Agent or any Lender to be legally prohibited by the Outbound Investment Rules from performing under this Agreement or any other Loan Document.</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LXXIX</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AFFIRMATIVE COVENANTS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Loan Parties hereby covenants and agrees that on the Closing Date and thereafter until the Facility Termination Date, such Loan Party shall, and shall cause each of its Subsidiaries to:</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79.01     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Administrative Agent for distribution to each Lender:</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u w:val="single"/>
              </w:rPr>
              <w:t>Audited Financial Statements</w:t>
            </w:r>
            <w:r>
              <w:rPr/>
              <w:t>. As soon as available, but in any event within ninety (90) days after the end of each fiscal year of the Parent</w:t>
            </w:r>
            <w:r>
              <w:rPr>
                <w:b/>
              </w:rPr>
              <w:t xml:space="preserve">, </w:t>
            </w:r>
            <w:r>
              <w:rPr/>
              <w:t>a Consolidated balance sheet of the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prepared in accordance with GAAP, such Consolidated statements to be audited and accompanied by a report and opinion of PricewaterhouseCoopers LLP or another independent certified public accountant of nationally recognized standing selected by the Parent and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provided that such report and opinion may be subject to a “going concern” or like qualification or exception if such qualification or exception is related solely to an upcoming maturity date of any Indebtedness under this Agreement occurring within 12 months from the time such opinion is required to be delivered to the Administrative Agent pursuant to this Section 6.01(a).</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left"/>
              <w:rPr/>
            </w:pPr>
            <w:r>
              <w:rPr>
                <w:u w:val="single"/>
              </w:rPr>
              <w:t>Quarterly Financial Statements</w:t>
            </w:r>
            <w:r>
              <w:rPr/>
              <w:t>. As soon as available, but in any event within forty-five (45) days after the end of each of the first three (3) fiscal quarters of each fiscal year of the Parent, a Consolidated balance sheet of the Parent and its Subsidiaries as at the end of such fiscal quarter, and the related Consolidated statements of income or operations, changes in shareholders’ equity and cash flows for such fiscal quarter and for the portion of the Parent’s fiscal year then ended, setting forth in each case in comparative form the figures for the corresponding fiscal quarter of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 fiscal year and the corresponding portion of the previous fiscal year, prepared in accordance with GAAP and including a customary management discussion and analysis section, certified by the chief executive officer, chief financial officer, treasurer or controller who is a Responsible Officer of the Parent as fairly presenting in all material respects the financial position and results of operations of the Parent and its Subsidiaries for such fiscal quarter and period, subject to normal year-end audit adjustments and the absence of footnotes.</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left"/>
              <w:rPr/>
            </w:pPr>
            <w:r>
              <w:rPr>
                <w:u w:val="single"/>
              </w:rPr>
              <w:t>Business Plan and Budget</w:t>
            </w:r>
            <w:r>
              <w:rPr/>
              <w:t>. Not later than thirty (30) days after the end of each fiscal year of the Parent beginning with the fiscal year ending January 31, 2019, an annual business plan and budget of the Parent and its Subsidiaries on a Consolidated basis, in form and detail reasonably satisfactory to the Administrative Agent, including forecasts prepared by management of the Parent of Consolidated balance sheets and statements of income or operations and cash flows of the Parent and its Subsidiaries on an annual basis for the immediately following fiscal year.</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information contained in materials furnished pursuant to Section 6.02(f), the Parent shall not be separately required to furnish such information under Section 6.01(a) or (b) above, but the foregoing shall not be in derogation of the obligation of the Parent to furnish the information and materials described in Sections 6.01(a) and (b) above at the times specified therein.</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79.02      </w:t>
      </w:r>
      <w:r>
        <w:rPr>
          <w:rFonts w:ascii="Times New Roman;Times;Serif" w:hAnsi="Times New Roman;Times;Serif"/>
          <w:b/>
          <w:i w:val="false"/>
          <w:caps w:val="false"/>
          <w:smallCaps w:val="false"/>
          <w:sz w:val="20"/>
          <w:u w:val="single"/>
        </w:rPr>
        <w:t>Certificates; Other Information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Administrative Agent for distribution to each Lender:</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u w:val="single"/>
              </w:rPr>
              <w:t>Compliance Certificate</w:t>
            </w:r>
            <w:r>
              <w:rPr/>
              <w:t>. Concurrently with the delivery of the financial statements referred to in Sections 6.01(a) and (b) (commencing with the delivery of the financial statements for the fiscal quarter ending October 31, 2018), a duly completed Compliance Certificate signed by the chief executive officer, chief financial officer, treasurer or controller which is a Responsible Officer of the Parent in form and detail reasonably satisfactory to the Administrative Agent, and in the event of any change in generally accepted accounting principles used in the preparation of such financial statements, the Parent shall also provide, if necessary for the determination of compliance with Section 7.11, a statement of reconciliation conforming such financial statements to GAAP. Unless the Administrative Agent or a Lender through the Administrative Agent requests executed originals, delivery of the Compliance Certificate may be by electronic communication including fax or email and shall be deemed to be an original and authentic counterpart thereof for all purposes.</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left"/>
              <w:rPr/>
            </w:pPr>
            <w:r>
              <w:rPr>
                <w:u w:val="single"/>
              </w:rPr>
              <w:t>Updated Schedules</w:t>
            </w:r>
            <w:r>
              <w:rPr/>
              <w:t>. Concurrently with the delivery of the financial statements referred to in Section 6.01(a) (commencing with the delivery of the financial statements for the fiscal year ending January 31, 2019),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updated Schedules to this Agreement in form and detail reasonably satisfactory to the Administrative Agent (which may be attached to the Compliance Certificate) to the extent required to make the representation related to such Schedule true and correct as of the date of such Compliance Certificate: </w:t>
      </w:r>
      <w:r>
        <w:rPr>
          <w:rFonts w:ascii="Times New Roman;Times;Serif" w:hAnsi="Times New Roman;Times;Serif"/>
          <w:b w:val="false"/>
          <w:i w:val="false"/>
          <w:caps w:val="false"/>
          <w:smallCaps w:val="false"/>
          <w:sz w:val="20"/>
          <w:u w:val="single"/>
        </w:rPr>
        <w:t>Schedules 1.01(c)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5.21(c)</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left"/>
              <w:rPr/>
            </w:pPr>
            <w:r>
              <w:rPr>
                <w:u w:val="single"/>
              </w:rPr>
              <w:t>Calculations</w:t>
            </w:r>
            <w:r>
              <w:rPr/>
              <w:t>. Concurrently with the delivery of the Compliance Certificate referred to in Section 6.02(a) required to be delivered with the financial statements referred to in Section 6.01(a), a certificate (which may be included in such Compliance Certificate) including the amount of all Capital Expenditures that were made during the prior fiscal year in form and detail reasonably satisfactory to the Administrative Agent.</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left"/>
              <w:rPr/>
            </w:pPr>
            <w:r>
              <w:rPr>
                <w:u w:val="single"/>
              </w:rPr>
              <w:t>Changes in Entity Structure</w:t>
            </w:r>
            <w:r>
              <w:rPr/>
              <w:t>. Within ten (10) days (or such shorter period as agreed to by the Administrative Agent) prior to any merger, consolidation, dissolution or other change in entity structure of any Loan Party permitted pursuant to the terms hereof, provide notice of such change in entity structure to the Administrative Agent in form and detail reasonably satisfactory to the Administrative Agent, along with such other information as reasonably requested by the Administrative Agent. Provide notice to the Administrative Agent, not less than ten (10) days prior (or such shorter period of time as agreed to by the Administrative Agent) of any change in any Loan Party’s legal name, state of organization, or organizational existence.</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left"/>
              <w:rPr/>
            </w:pPr>
            <w:r>
              <w:rPr>
                <w:u w:val="single"/>
              </w:rPr>
              <w:t>Audit Reports; Management Letters; Recommendations</w:t>
            </w:r>
            <w:r>
              <w:rPr/>
              <w:t>. 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tc>
      </w:tr>
    </w:tbl>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left"/>
              <w:rPr/>
            </w:pPr>
            <w:r>
              <w:rPr>
                <w:u w:val="single"/>
              </w:rPr>
              <w:t>Annual Reports; Etc</w:t>
            </w:r>
            <w:r>
              <w:rPr/>
              <w:t>. Promptly after the same are available, copies of each annual report, proxy or financial statement or other report or communication sent generally to the stockholders of the Parent, and copies of all annual, regular, periodic and special reports and registration statements which the Parent may file or be required to file with the SEC under Section 13 or 15(d) of the Securities Exchange Act of 1934, or with any national securities exchange, and in any case not otherwise required to be delivered to the Administrative Agent pursuant hereto.</w:t>
            </w:r>
          </w:p>
        </w:tc>
      </w:tr>
    </w:tbl>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(g)</w:t>
            </w:r>
          </w:p>
        </w:tc>
        <w:tc>
          <w:tcPr>
            <w:tcW w:w="9928" w:type="dxa"/>
            <w:tcBorders/>
            <w:vAlign w:val="center"/>
          </w:tcPr>
          <w:p>
            <w:pPr>
              <w:pStyle w:val="TableContents"/>
              <w:bidi w:val="0"/>
              <w:spacing w:before="0" w:after="283"/>
              <w:jc w:val="left"/>
              <w:rPr/>
            </w:pPr>
            <w:r>
              <w:rPr>
                <w:u w:val="single"/>
              </w:rPr>
              <w:t>Debt Securities Statements and Reports</w:t>
            </w:r>
            <w:r>
              <w:rPr/>
              <w:t>. Promptly after the furnishing thereof, copies of any statement or report furnished generally to holders of debt securities of any Loan Party or of any of its Subsidiaries pursuant to the terms of any indenture, loan or credit or similar agreement and not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required to be furnished to the Lenders pursuant to Section 6.01 or any other clause of this Section.</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(h)</w:t>
            </w:r>
          </w:p>
        </w:tc>
        <w:tc>
          <w:tcPr>
            <w:tcW w:w="9936" w:type="dxa"/>
            <w:tcBorders/>
            <w:vAlign w:val="center"/>
          </w:tcPr>
          <w:p>
            <w:pPr>
              <w:pStyle w:val="TableContents"/>
              <w:bidi w:val="0"/>
              <w:spacing w:before="0" w:after="283"/>
              <w:jc w:val="left"/>
              <w:rPr/>
            </w:pPr>
            <w:r>
              <w:rPr>
                <w:u w:val="single"/>
              </w:rPr>
              <w:t>SEC Notices</w:t>
            </w:r>
            <w:r>
              <w:rPr/>
              <w:t>. Promptly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tc>
      </w:tr>
    </w:tbl>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5" w:type="dxa"/>
            <w:tcBorders/>
            <w:vAlign w:val="center"/>
          </w:tcPr>
          <w:p>
            <w:pPr>
              <w:pStyle w:val="TableContents"/>
              <w:bidi w:val="0"/>
              <w:spacing w:before="0" w:after="283"/>
              <w:jc w:val="left"/>
              <w:rPr/>
            </w:pPr>
            <w:r>
              <w:rPr>
                <w:u w:val="single"/>
              </w:rPr>
              <w:t>Notices</w:t>
            </w:r>
            <w:r>
              <w:rPr/>
              <w:t>. Not later than five (5) Business Days after receipt thereof by any Loan Party or any Subsidiary thereof, copies of all notices, requests and other documents (including amendments, waivers and other modifications) so received under or pursuant to any instrument, indenture, loan or credit or similar agreement regarding or related to any breach or default by any party thereto or any other event that could reasonably be expected to materially impair the value of the interests or the rights of any Loan Party or otherwise have a Material Adverse Effect and, from time to time upon request by the Administrative Agent, such information and reports regarding such instruments, indentures and loan and credit and similar agreements as the Administrative Agent may reasonably request.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(j)</w:t>
            </w:r>
          </w:p>
        </w:tc>
        <w:tc>
          <w:tcPr>
            <w:tcW w:w="9998" w:type="dxa"/>
            <w:tcBorders/>
            <w:vAlign w:val="center"/>
          </w:tcPr>
          <w:p>
            <w:pPr>
              <w:pStyle w:val="TableContents"/>
              <w:bidi w:val="0"/>
              <w:spacing w:before="0" w:after="283"/>
              <w:jc w:val="left"/>
              <w:rPr/>
            </w:pPr>
            <w:r>
              <w:rPr>
                <w:u w:val="single"/>
              </w:rPr>
              <w:t>Environmental Notice</w:t>
            </w:r>
            <w:r>
              <w:rPr/>
              <w:t>. Promptly after the assertion or occurrence thereof, notice of any action or proceeding against or of any noncompliance by any Loan Party or any of its Subsidiaries with any Environmental Law or Environmental Permit that could (i) reasonably be expected to have a Material Adverse Effect or (ii) cause any Real Property to be subject to any restrictions on ownership, occupancy, use or transferability under any Environmental Law.</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(k)</w:t>
            </w:r>
          </w:p>
        </w:tc>
        <w:tc>
          <w:tcPr>
            <w:tcW w:w="9933" w:type="dxa"/>
            <w:tcBorders/>
            <w:vAlign w:val="center"/>
          </w:tcPr>
          <w:p>
            <w:pPr>
              <w:pStyle w:val="TableContents"/>
              <w:bidi w:val="0"/>
              <w:spacing w:before="0" w:after="283"/>
              <w:jc w:val="left"/>
              <w:rPr/>
            </w:pPr>
            <w:r>
              <w:rPr>
                <w:u w:val="single"/>
              </w:rPr>
              <w:t>KYC</w:t>
            </w:r>
            <w:r>
              <w:rPr/>
              <w:t>. Promptly following any request therefor, provide information and documentation reasonably requested by Lender for purposes of compliance with applicable “know your customer” and anti-money-laundering rules and regulations, including, without limitation, the PATRIOT Act and the Beneficial Ownership Regulation.</w:t>
            </w:r>
          </w:p>
        </w:tc>
      </w:tr>
    </w:tbl>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(l)</w:t>
            </w:r>
          </w:p>
        </w:tc>
        <w:tc>
          <w:tcPr>
            <w:tcW w:w="9990" w:type="dxa"/>
            <w:tcBorders/>
            <w:vAlign w:val="center"/>
          </w:tcPr>
          <w:p>
            <w:pPr>
              <w:pStyle w:val="TableContents"/>
              <w:bidi w:val="0"/>
              <w:spacing w:before="0" w:after="283"/>
              <w:jc w:val="left"/>
              <w:rPr/>
            </w:pPr>
            <w:r>
              <w:rPr>
                <w:u w:val="single"/>
              </w:rPr>
              <w:t>Additional Information</w:t>
            </w:r>
            <w:r>
              <w:rPr/>
              <w:t>. Promptly, such additional information regarding the business, financial, legal or corporate affairs of any Loan Party or any Subsidiary thereof, or compliance with the terms of the Loan Documents, as the Administrative Agent or any Lender may from time to time reasonably request.</w:t>
            </w:r>
          </w:p>
        </w:tc>
      </w:tr>
    </w:tbl>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(m)</w:t>
            </w:r>
          </w:p>
        </w:tc>
        <w:tc>
          <w:tcPr>
            <w:tcW w:w="9869" w:type="dxa"/>
            <w:tcBorders/>
            <w:vAlign w:val="center"/>
          </w:tcPr>
          <w:p>
            <w:pPr>
              <w:pStyle w:val="TableContents"/>
              <w:bidi w:val="0"/>
              <w:spacing w:before="0" w:after="283"/>
              <w:jc w:val="left"/>
              <w:rPr/>
            </w:pPr>
            <w:r>
              <w:rPr>
                <w:u w:val="single"/>
              </w:rPr>
              <w:t>Beneficial Ownership</w:t>
            </w:r>
            <w:r>
              <w:rPr/>
              <w:t>. To the extent any Loan Party qualifies as a “legal entity customer” under the Beneficial Ownership Regulation, an updated Beneficial Ownership Certification promptly following any change in the information provided in the Beneficial Ownership Certification delivered</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Lender in relation to such Loan Party that would result in a change to the list of beneficial owners identified in such certification.</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Section 6.01(a) or (b) or Section 6.02(f) (to the extent any such documents are included in materials otherwise filed with the SEC) may be delivered electronically and if so delivered, shall be deemed to have been delivered on the date (a) on which the Parent posts such documents, or provides a link thereto on the Parent’s website on the Internet at the website address listed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 xml:space="preserve">; or (b) on which such documents are posted on the Parent’s behalf on an Internet or intranet website, if any, to which each Lender and the Administrative Agent have access (whether a commercial, third-party website or whether sponsored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Parent shall deliver paper copies of such documents to the Administrative Agent or any Lender upon its request to the Parent to deliver such paper copies until a written request to cease delivering paper copies is given by the Administrative Agent or such Lender and (ii) the Parent shall notify the Administrative Agent and each Lender (by fax transmission or e-mail transmission) of the posting of any such documents and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Parent with any such request by a Lender for delivery, and each Lender shall be solely responsible for requesting delivery to it or maintaining its copies of such documents.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Borrower hereby acknowledges that the Administrative Agent and/or an Affiliate thereof may, but shall not be obligated to, make available to the Lenders and the L/C Issuer materials and/or information provided by or on behalf of the Borrowers hereunder (collectively, “</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by posting the Borrower Materials on IntraLinks, Syndtrak, ClearPar or a substantially similar electronic transmission system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79.03     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a Responsible Officer’s obtaining knowledge thereof, but in any event within five (5) Business Days after a Responsible Officer’s obtaining knowledge thereof, notify the Administrative Agent and each Lender:</w:t>
      </w:r>
    </w:p>
    <w:tbl>
      <w:tblPr>
        <w:tblW w:w="5000" w:type="pct"/>
        <w:jc w:val="left"/>
        <w:tblInd w:w="0" w:type="dxa"/>
        <w:tblLayout w:type="fixed"/>
        <w:tblCellMar>
          <w:top w:w="0" w:type="dxa"/>
          <w:left w:w="0" w:type="dxa"/>
          <w:bottom w:w="0" w:type="dxa"/>
          <w:right w:w="0" w:type="dxa"/>
        </w:tblCellMar>
      </w:tblPr>
      <w:tblGrid>
        <w:gridCol w:w="111"/>
        <w:gridCol w:w="809"/>
        <w:gridCol w:w="9285"/>
      </w:tblGrid>
      <w:tr>
        <w:trPr/>
        <w:tc>
          <w:tcPr>
            <w:tcW w:w="1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(a)</w:t>
            </w:r>
          </w:p>
        </w:tc>
        <w:tc>
          <w:tcPr>
            <w:tcW w:w="9285" w:type="dxa"/>
            <w:tcBorders/>
            <w:vAlign w:val="center"/>
          </w:tcPr>
          <w:p>
            <w:pPr>
              <w:pStyle w:val="TableContents"/>
              <w:bidi w:val="0"/>
              <w:spacing w:before="0" w:after="283"/>
              <w:jc w:val="left"/>
              <w:rPr/>
            </w:pPr>
            <w:r>
              <w:rPr/>
              <w:t>of the occurrence of any Default;</w:t>
            </w:r>
          </w:p>
        </w:tc>
      </w:tr>
    </w:tbl>
    <w:tbl>
      <w:tblPr>
        <w:tblW w:w="5000" w:type="pct"/>
        <w:jc w:val="left"/>
        <w:tblInd w:w="0" w:type="dxa"/>
        <w:tblLayout w:type="fixed"/>
        <w:tblCellMar>
          <w:top w:w="0" w:type="dxa"/>
          <w:left w:w="0" w:type="dxa"/>
          <w:bottom w:w="0" w:type="dxa"/>
          <w:right w:w="0" w:type="dxa"/>
        </w:tblCellMar>
      </w:tblPr>
      <w:tblGrid>
        <w:gridCol w:w="39"/>
        <w:gridCol w:w="298"/>
        <w:gridCol w:w="9868"/>
      </w:tblGrid>
      <w:tr>
        <w:trPr/>
        <w:tc>
          <w:tcPr>
            <w:tcW w:w="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283"/>
              <w:jc w:val="left"/>
              <w:rPr/>
            </w:pPr>
            <w:r>
              <w:rPr/>
              <w:t>of any matter that has resulted or could reasonably be expected to result in a Material Adverse Effect</w:t>
            </w:r>
            <w:r>
              <w:rPr>
                <w:b/>
              </w:rPr>
              <w:t>;</w:t>
            </w:r>
          </w:p>
        </w:tc>
      </w:tr>
    </w:tbl>
    <w:tbl>
      <w:tblPr>
        <w:tblW w:w="5000" w:type="pct"/>
        <w:jc w:val="left"/>
        <w:tblInd w:w="0" w:type="dxa"/>
        <w:tblLayout w:type="fixed"/>
        <w:tblCellMar>
          <w:top w:w="0" w:type="dxa"/>
          <w:left w:w="0" w:type="dxa"/>
          <w:bottom w:w="0" w:type="dxa"/>
          <w:right w:w="0" w:type="dxa"/>
        </w:tblCellMar>
      </w:tblPr>
      <w:tblGrid>
        <w:gridCol w:w="89"/>
        <w:gridCol w:w="647"/>
        <w:gridCol w:w="9469"/>
      </w:tblGrid>
      <w:tr>
        <w:trPr/>
        <w:tc>
          <w:tcPr>
            <w:tcW w:w="8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pPr>
            <w:r>
              <w:rPr/>
              <w:t>(c)</w:t>
            </w:r>
          </w:p>
        </w:tc>
        <w:tc>
          <w:tcPr>
            <w:tcW w:w="9469" w:type="dxa"/>
            <w:tcBorders/>
            <w:vAlign w:val="center"/>
          </w:tcPr>
          <w:p>
            <w:pPr>
              <w:pStyle w:val="TableContents"/>
              <w:bidi w:val="0"/>
              <w:spacing w:before="0" w:after="283"/>
              <w:jc w:val="left"/>
              <w:rPr/>
            </w:pPr>
            <w:r>
              <w:rPr/>
              <w:t>of the occurrence of any ERISA Event; or</w:t>
            </w:r>
          </w:p>
        </w:tc>
      </w:tr>
    </w:tbl>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(d)</w:t>
            </w:r>
          </w:p>
        </w:tc>
        <w:tc>
          <w:tcPr>
            <w:tcW w:w="9917" w:type="dxa"/>
            <w:tcBorders/>
            <w:vAlign w:val="center"/>
          </w:tcPr>
          <w:p>
            <w:pPr>
              <w:pStyle w:val="TableContents"/>
              <w:bidi w:val="0"/>
              <w:spacing w:before="0" w:after="283"/>
              <w:jc w:val="left"/>
              <w:rPr/>
            </w:pPr>
            <w:r>
              <w:rPr/>
              <w:t>of any material change in accounting policies or financial reporting practices by any Loan Party or any Subsidiary thereof, including any determination by the Borrowers referred to in Section 2.10(b).</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pursuant to this Section 6.03 shall be accompanied by a statement of a Responsible Officer of the Parent setting forth details of the occurrence referred to therein and to the extent applicable, stating what action the Borrowers have taken and propose to take with</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thereto. Each notice pursuant to Section 6.03(a) shall describe with particularity any and all provisions of this Agreement and any other Loan Document that have been breached.</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79.04      </w:t>
      </w:r>
      <w:r>
        <w:rPr>
          <w:rFonts w:ascii="Times New Roman;Times;Serif" w:hAnsi="Times New Roman;Times;Serif"/>
          <w:b/>
          <w:i w:val="false"/>
          <w:caps w:val="false"/>
          <w:smallCaps w:val="false"/>
          <w:sz w:val="20"/>
          <w:u w:val="single"/>
        </w:rPr>
        <w:t>Payment of Obligations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and discharge as the same shall become due and payable, all its obligations and liabilities, including (a) all material tax liabilities, assessments and governmental charges or levies upon it or its properties or assets and all lawful claims which, if unpaid, would by law become a Lien upon its property unless the same are being contested in good faith by appropriate proceedings diligently conducted and adequate reserves in accordance with GAAP are being maintained by the Borrowers or such Subsidiary</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(b) all Indebtedness in aggregate in excess of the Threshold Amount, as and when due and payable, but subject to any subordination provisions contained in any instrument or agreement evidencing such Indebtedness.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79.05      </w:t>
      </w:r>
      <w:r>
        <w:rPr>
          <w:rFonts w:ascii="Times New Roman;Times;Serif" w:hAnsi="Times New Roman;Times;Serif"/>
          <w:b/>
          <w:i w:val="false"/>
          <w:caps w:val="false"/>
          <w:smallCaps w:val="false"/>
          <w:sz w:val="20"/>
          <w:u w:val="single"/>
        </w:rPr>
        <w:t>Preservation of Existence, Etc</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left"/>
              <w:rPr/>
            </w:pPr>
            <w:r>
              <w:rPr/>
              <w:t>preserve, renew and maintain in full force and effect its legal existence and, with respect to each Loan Party and each Significant Subsidiary, good standing under the Laws of the jurisdiction of its organization except in a transaction permitted by Section 7.04 or 7.05;</w:t>
            </w:r>
          </w:p>
        </w:tc>
      </w:tr>
    </w:tbl>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left"/>
              <w:rPr/>
            </w:pPr>
            <w:r>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9" w:type="dxa"/>
            <w:tcBorders/>
            <w:vAlign w:val="center"/>
          </w:tcPr>
          <w:p>
            <w:pPr>
              <w:pStyle w:val="TableContents"/>
              <w:bidi w:val="0"/>
              <w:spacing w:before="0" w:after="283"/>
              <w:jc w:val="left"/>
              <w:rPr/>
            </w:pPr>
            <w:r>
              <w:rPr/>
              <w:t>preserve or renew all of its registered patents, trademarks, trade names and service marks, the non-preservation of which could reasonably be expected to have a Material Adverse Effect.</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79.06      </w:t>
      </w:r>
      <w:r>
        <w:rPr>
          <w:rFonts w:ascii="Times New Roman;Times;Serif" w:hAnsi="Times New Roman;Times;Serif"/>
          <w:b/>
          <w:i w:val="false"/>
          <w:caps w:val="false"/>
          <w:smallCaps w:val="false"/>
          <w:sz w:val="20"/>
          <w:u w:val="single"/>
        </w:rPr>
        <w:t>Maintenance of Properties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left"/>
              <w:rPr/>
            </w:pPr>
            <w:r>
              <w:rPr/>
              <w:t>Maintain, preserve and protect all of its material properties and equipment necessary in the operation of its business in good working order and condition, ordinary wear and tear excepted and subject to casualty and condemnation; and</w:t>
            </w:r>
          </w:p>
        </w:tc>
      </w:tr>
    </w:tbl>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left"/>
              <w:rPr/>
            </w:pPr>
            <w:r>
              <w:rPr/>
              <w:t>make all necessary repairs thereto and renewals and replacements thereof except where the failure to do so could not reasonably be expected to have a Material Adverse Effect</w:t>
            </w:r>
            <w:r>
              <w:rPr>
                <w:b/>
              </w:rPr>
              <w:t xml:space="preserve">. </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79.07      </w:t>
      </w:r>
      <w:r>
        <w:rPr>
          <w:rFonts w:ascii="Times New Roman;Times;Serif" w:hAnsi="Times New Roman;Times;Serif"/>
          <w:b/>
          <w:i w:val="false"/>
          <w:caps w:val="false"/>
          <w:smallCaps w:val="false"/>
          <w:sz w:val="20"/>
          <w:u w:val="single"/>
        </w:rPr>
        <w:t>Maintenance of Insurance</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left"/>
              <w:rPr/>
            </w:pPr>
            <w:r>
              <w:rPr>
                <w:u w:val="single"/>
              </w:rPr>
              <w:t>Maintenance of Insurance</w:t>
            </w:r>
            <w:r>
              <w:rPr/>
              <w:t>. Maintain with financially sound and reputable insurance companies not Affiliates of the Borrowers, insurance with respect to its properties and business against loss or damage of the kinds customarily insured against by Persons engaged in the same or similar</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of such types and in such amounts as are customarily carried under similar circumstances by such other Persons.</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left"/>
              <w:rPr/>
            </w:pPr>
            <w:r>
              <w:rPr>
                <w:u w:val="single"/>
              </w:rPr>
              <w:t>Evidence of Insurance</w:t>
            </w:r>
            <w:r>
              <w:rPr/>
              <w:t>. Cause the Administrative Agent to be named as lenders’ loss payable, loss payee or mortgagee, as its interest may appear, and/or additional insured with respect of any such insurance providing liability coverage or coverage in respect of any Collateral, and to the extent commercially available on commercially reasonable terms,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cancelled (or ten (10) days prior notice in the case of cancellation due to the nonpayment of premiums). Annually, upon expiration of current insurance coverage, the Loan Parties shall provide, or cause to be provided, to the Administrative Agent, such evidence of insurance as required by the Administrative Agent, including, but not limited to: (i) evidence of such insurance policies (including, without limitation and as applicable, ACORD Form 28 certificates (or similar form of insurance certificate), and ACORD Form 25 certificates (or similar form of insurance certificate)), (ii) declaration pages for each insurance policy and (iii) lender’s loss payable and/or additional insured endorsements, as applicable, if the Administrative Agent for the benefit of the Secured Parties is not on the declarations page for such policy. As requested by the Administrative Agent, the Loan Parties agree to deliver to the Administrative Agent an Authorization to Share Insurance Information.</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79.08     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79.09      </w:t>
      </w:r>
      <w:r>
        <w:rPr>
          <w:rFonts w:ascii="Times New Roman;Times;Serif" w:hAnsi="Times New Roman;Times;Serif"/>
          <w:b/>
          <w:i w:val="false"/>
          <w:caps w:val="false"/>
          <w:smallCaps w:val="false"/>
          <w:sz w:val="20"/>
          <w:u w:val="single"/>
        </w:rPr>
        <w:t>Books and Records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79.10      </w:t>
      </w:r>
      <w:r>
        <w:rPr>
          <w:rFonts w:ascii="Times New Roman;Times;Serif" w:hAnsi="Times New Roman;Times;Serif"/>
          <w:b/>
          <w:i w:val="false"/>
          <w:caps w:val="false"/>
          <w:smallCaps w:val="false"/>
          <w:sz w:val="20"/>
          <w:u w:val="single"/>
        </w:rPr>
        <w:t>Inspection Rights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representatives and independent contractors of the Administrative Agent to visit and inspect any of its properties, to examine its corporate, financial and operating records, and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make copies thereof or abstracts therefrom, and to discuss its affairs, finances and accounts with its directors, officers, and independent public accountants (provided that the Administrative Agent shall provide the Borrowers the opportunity to participate in any discussions with the independent public accountants), all at the expense of the Applicable Borrowers and at such reasonable times during normal business hours and as often as may be reasonably desired, upon reasonable advance notice to the Borrowers;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when an Event of Default exists the Administrative Agent or any Lender (or any of their respective representatives or independent contractors) may do any of the foregoing at the expense of the Applicable Borrowers at any time during normal business hours and without advance notice.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79.11     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the proceeds of the Credit Extensions for general corporate purposes not in contravention of any Law or of any Loan Document, including for share repurchases to the extent permitted by the terms of this Agreement.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79.12      </w:t>
      </w:r>
      <w:r>
        <w:rPr>
          <w:rFonts w:ascii="Times New Roman;Times;Serif" w:hAnsi="Times New Roman;Times;Serif"/>
          <w:b/>
          <w:i w:val="false"/>
          <w:caps w:val="false"/>
          <w:smallCaps w:val="false"/>
          <w:sz w:val="20"/>
          <w:u w:val="single"/>
        </w:rPr>
        <w:t>[Reserved.]</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79.13      </w:t>
      </w:r>
      <w:r>
        <w:rPr>
          <w:rFonts w:ascii="Times New Roman;Times;Serif" w:hAnsi="Times New Roman;Times;Serif"/>
          <w:b/>
          <w:i w:val="false"/>
          <w:caps w:val="false"/>
          <w:smallCaps w:val="false"/>
          <w:sz w:val="20"/>
          <w:u w:val="single"/>
        </w:rPr>
        <w:t>Covenant to Guarantee Obligations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Parties will cause each of their Material Domestic Subsidiaries (excluding any CFC Holding Company), whether newly formed, after acquired or otherwise existing, to promptly (and in any event within thirty (30) days after such Subsidiary is formed or acquired (or such longer period of time as agreed to by the Administrative Agent in its reasonable discretion)) become a Guarantor hereunder by way of execution of a Joinder Agreement. In connection therewith, the Loan Parties shall give notice to the Administrative Agent not less than ten (10) days prior to creating a Material Domestic Subsidiary (or such shorter period of time as agreed to by the Administrative Agent in its reasonable discretion), or acquiring the Equity Interests of any other Person that, once acquired, would constitute a Material Domestic Subsidiary. In connection with the foregoing, the Loan Parties shall deliver to the Administrative Agent, with respect to each new Guarantor to the extent applicable, substantially the same documentation required pursuant to Sections 4.01(b), (c), (e) and (f) and 6.14 and such other documents or agreements as the Administrative Agent may reasonably request.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79.14      </w:t>
      </w:r>
      <w:r>
        <w:rPr>
          <w:rFonts w:ascii="Times New Roman;Times;Serif" w:hAnsi="Times New Roman;Times;Serif"/>
          <w:b/>
          <w:i w:val="false"/>
          <w:caps w:val="false"/>
          <w:smallCaps w:val="false"/>
          <w:sz w:val="20"/>
          <w:u w:val="single"/>
        </w:rPr>
        <w:t>Covenant to Give Security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Excluded Property:</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left"/>
              <w:rPr/>
            </w:pPr>
            <w:r>
              <w:rPr>
                <w:u w:val="single"/>
              </w:rPr>
              <w:t>Equity Interests and Personal Property</w:t>
            </w:r>
            <w:r>
              <w:rPr/>
              <w:t>. Each Domestic Borrower and Domestic Guarantor will cause the Pledged Equity and all of its tangible and intangible personal property now owned or hereafter acquired by it to be subject at all times to a first priority, perfected Lien (subject to Permitted Liens to the extent permitted by the Loan Documents) in favor of the Administrative Agent for the benefit of the Secured Parties to secure the Secured Obligations pursuant to and to the extent contemplated by the terms and conditions of the Collateral Documents. Each applicable Loan Party shall provide opinions of counsel reasonably requested by the Administrative Agent and any filings and deliveries reasonably necessary</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to perfect the security interests therein, all in form and substance reasonably satisfactory to the Administrative Agent.</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left"/>
              <w:rPr/>
            </w:pPr>
            <w:r>
              <w:rPr>
                <w:u w:val="single"/>
              </w:rPr>
              <w:t>Landlord Waivers</w:t>
            </w:r>
            <w:r>
              <w:rPr/>
              <w:t>. In the case of (i) each headquarter location of any Domestic Loan Party, each other location where any significant administrative or governing functions are performed for such Loan Parties and each other location where any Domestic Loan Party maintains any material books or records (electronic or otherwise) and (ii) any personal property Collateral located at any other premises leased by a Domestic Loan Party containing personal property Collateral with a value in excess of $2,000,000, the applicable Loan Parties will provide the Administrative Agent with such estoppel letters, consents and waivers from the landlords on such real property to the extent (A) requested by the Administrative Agent and (B) the applicable Loan Parties are able to secure such letters, consents and waivers after using commercially reasonable efforts (such letters, consents and waivers shall be in form and substance reasonably satisfactory to the Administrative Agent, it being acknowledged and agreed that any Landlord Waiver is satisfactory to the Administrative Agent).</w:t>
            </w:r>
          </w:p>
        </w:tc>
      </w:tr>
    </w:tbl>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left"/>
              <w:rPr/>
            </w:pPr>
            <w:r>
              <w:rPr>
                <w:u w:val="single"/>
              </w:rPr>
              <w:t>Further Assurances</w:t>
            </w:r>
            <w:r>
              <w:rPr/>
              <w:t>. At any time upon request of the Administrative Agent, promptly execute and deliver any and all further instruments and documents and take all such other action (including promptly completing any registration or stamping of documents as may be applicable) as the Administrative Agent may deem reasonably necessary or desirable to maintain in favor of the Administrative Agent, for the benefit of the Secured Parties, Liens and insurance rights on the Collateral that are duly perfected in accordance with the requirements of, or the obligations of the Loan Parties under, the Loan Documents and all applicable Laws.</w:t>
            </w:r>
          </w:p>
        </w:tc>
      </w:tr>
    </w:tbl>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 Additionally, Nederland BV will continue to pledge its equity interests in MGI GmbH to the Administrative Agent in its capacity as administrative agent for the Secured Parties to secure Nederland BV’s obligations hereunder as a Foreign Guarantor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79.15     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(including promptly completing any registration or stamping of documents as may be applicable) as the Administrative Agent, or any Lender through the Administrative Agent, may reasonably require from time to time in order to (i) carry out more effectively the purposes of the Loan Documents,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fullest extent permitted by applicable Law, subject any Loan Party’s or any of its Subsidiaries’ properties, assets, rights or interests to the Liens now or hereafter intended to be created by any of the Collateral Documents to the extent contemplated thereby, (iii) perfect and maintain the validity, effectiveness and priority of any of the Collateral Documents and any of the Liens intended to be created thereunder to the extent contemplated thereby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79.16      </w:t>
      </w:r>
      <w:r>
        <w:rPr>
          <w:rFonts w:ascii="Times New Roman;Times;Serif" w:hAnsi="Times New Roman;Times;Serif"/>
          <w:b/>
          <w:i w:val="false"/>
          <w:caps w:val="false"/>
          <w:smallCaps w:val="false"/>
          <w:sz w:val="20"/>
          <w:u w:val="single"/>
        </w:rPr>
        <w:t>[Reserved.]</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79.17      </w:t>
      </w:r>
      <w:r>
        <w:rPr>
          <w:rFonts w:ascii="Times New Roman;Times;Serif" w:hAnsi="Times New Roman;Times;Serif"/>
          <w:b/>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where the failure to do so could not reasonably be expected to have a Material Adverse Effect, (a) comply, and cause all lessees and other Persons operating or occupying its properties to comply, in all material respects, with all applicable Environmental Laws and Environmental Permits; (b) obtain and renew all material Environmental Permits necessary for its operations and properties; and (c) conduct any investigation, study, sampling and testing, and undertake any cleanup, removal, remedial or other action necessary to remove and clean up all Hazardous Materials from any of its properties, in accordance in all material respects with the requirements of all Environmental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the Borrowers nor any of their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79.18      </w:t>
      </w:r>
      <w:r>
        <w:rPr>
          <w:rFonts w:ascii="Times New Roman;Times;Serif" w:hAnsi="Times New Roman;Times;Serif"/>
          <w:b/>
          <w:i w:val="false"/>
          <w:caps w:val="false"/>
          <w:smallCaps w:val="false"/>
          <w:sz w:val="20"/>
          <w:u w:val="single"/>
        </w:rPr>
        <w:t>[Reserved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i w:val="false"/>
          <w:caps w:val="false"/>
          <w:smallCaps w:val="false"/>
          <w:sz w:val="20"/>
          <w:u w:val="single"/>
        </w:rPr>
        <w: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79.19      </w:t>
      </w:r>
      <w:r>
        <w:rPr>
          <w:rFonts w:ascii="Times New Roman;Times;Serif" w:hAnsi="Times New Roman;Times;Serif"/>
          <w:b/>
          <w:i w:val="false"/>
          <w:caps w:val="false"/>
          <w:smallCaps w:val="false"/>
          <w:sz w:val="20"/>
          <w:u w:val="single"/>
        </w:rPr>
        <w:t>Anti-Corruption Laws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its business in compliance in all material respects with the United States Foreign Corrupt Practices Act of 1977, the UK Bribery Act 2010 and other applicable anti-corruption legislation or anti-money laundering legislation in other jurisdictions and with all applicable Sanctions, and maintain policies and procedures reasonably designed to promote and achieve compliance with such laws and Sanctions.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79.20      </w:t>
      </w:r>
      <w:r>
        <w:rPr>
          <w:rFonts w:ascii="Times New Roman;Times;Serif" w:hAnsi="Times New Roman;Times;Serif"/>
          <w:b/>
          <w:i w:val="false"/>
          <w:caps w:val="false"/>
          <w:smallCaps w:val="false"/>
          <w:sz w:val="20"/>
          <w:u w:val="single"/>
        </w:rPr>
        <w:t>Approvals and Authorizations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79.21      </w:t>
      </w:r>
      <w:r>
        <w:rPr>
          <w:rFonts w:ascii="Times New Roman;Times;Serif" w:hAnsi="Times New Roman;Times;Serif"/>
          <w:b/>
          <w:i w:val="false"/>
          <w:caps w:val="false"/>
          <w:smallCaps w:val="false"/>
          <w:sz w:val="20"/>
          <w:u w:val="single"/>
        </w:rPr>
        <w:t>Pari Passu Ranking</w:t>
      </w:r>
      <w:r>
        <w:rPr>
          <w:rFonts w:ascii="Times New Roman;Times;Serif" w:hAnsi="Times New Roman;Times;Serif"/>
          <w:b w:val="false"/>
          <w:i w:val="false"/>
          <w:caps w:val="false"/>
          <w:smallCaps w:val="false"/>
          <w:sz w:val="20"/>
        </w:rPr>
        <w: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the payment obligations of the Loan Parties under the Loan Documents rank and continue to rank at least pari passu with the claims of all of the Loan Parties’ other unsecured and unsubordinated creditors, except for obligations mandatorily preferred by law applying to companies generally.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79.22      </w:t>
      </w:r>
      <w:r>
        <w:rPr>
          <w:rFonts w:ascii="Times New Roman;Times;Serif" w:hAnsi="Times New Roman;Times;Serif"/>
          <w:b/>
          <w:i w:val="false"/>
          <w:caps w:val="false"/>
          <w:smallCaps w:val="false"/>
          <w:sz w:val="20"/>
          <w:u w:val="single"/>
        </w:rPr>
        <w:t>Swiss Non-Bank Rules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Swiss Loan Party shall ensure that it is in compliance with the Swiss Non-Bank Rules at any time, provided that a Swiss Borrower shall not be in breach of this covenant if its number of creditors in respect of the Swiss 10 Non-Bank Rule is exceeded solely by reason of (i) a failure by one or more Lenders to comply with their obligations under paragraph (b)(iii) of Section 11.06 or (ii) an initial Lender ceasing to be a Swiss Qualifying Bank other than as a result of any change after the date it became an initial Lender under this Agreement in (or in the interpretation, administration, or application of) any law or treaty, or any published practice or published concession of any relevant taxing authority. For the purposes of compliance with this covenant, a Swiss Borrower shall assume that at any time there may be up to 10 (ten) creditors that are Swiss Non-Qualifying Banks under this Agreement (irrespective of whether or not there are, at any time, any creditors which are Swiss Non-Qualifying Banks).</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LXXX</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COVENANTS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Loan Parties hereby covenants and agrees that on the Closing Date and thereafter until the Facility Termination Date, no Loan Party shall, nor shall it permit any Subsidiary to, directly or indirectly: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80.01     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incur, assume or suffer to exist any Lien upon any of its property, assets or revenues, whether now owned or hereafter acquired, except for the following (the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95"/>
        <w:gridCol w:w="692"/>
        <w:gridCol w:w="9418"/>
      </w:tblGrid>
      <w:tr>
        <w:trPr/>
        <w:tc>
          <w:tcPr>
            <w:tcW w:w="9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(a)</w:t>
            </w:r>
          </w:p>
        </w:tc>
        <w:tc>
          <w:tcPr>
            <w:tcW w:w="9418" w:type="dxa"/>
            <w:tcBorders/>
            <w:vAlign w:val="center"/>
          </w:tcPr>
          <w:p>
            <w:pPr>
              <w:pStyle w:val="TableContents"/>
              <w:bidi w:val="0"/>
              <w:spacing w:before="0" w:after="283"/>
              <w:jc w:val="left"/>
              <w:rPr/>
            </w:pPr>
            <w:r>
              <w:rPr/>
              <w:t>Liens pursuant to any Loan Document;</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left"/>
              <w:rPr/>
            </w:pPr>
            <w:r>
              <w:rPr/>
              <w:t xml:space="preserve">Liens existing on the Closing Date and listed on </w:t>
            </w:r>
            <w:r>
              <w:rPr>
                <w:u w:val="single"/>
              </w:rPr>
              <w:t>Schedule 7.01</w:t>
            </w:r>
            <w:r>
              <w:rPr/>
              <w:t xml:space="preserve"> and any renewals, extensions or refinancings thereof, provided that (i) the property covered thereby is not increased (plus improvements and accessions to such property and proceeds thereof), (ii) the amount secured or benefited thereby is not increased except as contemplated by Section 7.02(b), (iii) the direct and contingent obligors with respect thereto are not more extensive, and (iv) any renewal or extension of the obligations secured or benefited thereby to the extent constituting Indebtedness is permitted by Section 7.02(b);</w:t>
            </w:r>
          </w:p>
        </w:tc>
      </w:tr>
    </w:tbl>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283"/>
              <w:jc w:val="left"/>
              <w:rPr/>
            </w:pPr>
            <w:r>
              <w:rPr/>
              <w:t>Liens for Taxes not yet due or Liens for Taxes which are being contested in good faith and by appropriate proceedings diligently conducted, if</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reserves with respect thereto are maintained on the books of the applicable Person in accordance with GAAP;</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7" w:type="dxa"/>
            <w:tcBorders/>
            <w:vAlign w:val="center"/>
          </w:tcPr>
          <w:p>
            <w:pPr>
              <w:pStyle w:val="TableContents"/>
              <w:bidi w:val="0"/>
              <w:spacing w:before="0" w:after="283"/>
              <w:jc w:val="left"/>
              <w:rPr/>
            </w:pPr>
            <w:r>
              <w:rPr/>
              <w:t>carriers’, warehousemen’s, mechanics’, materialmen’s, repairmen’s or other like Liens arising in the ordinary course of business which are not overdue for a period of more than thirty (30) days or which are being contested in good faith and by appropriate proceedings diligently conducted, if adequate reserves with respect thereto are maintained on the books of the applicable Person in accordance with GAAP;</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(e)</w:t>
            </w:r>
          </w:p>
        </w:tc>
        <w:tc>
          <w:tcPr>
            <w:tcW w:w="9931" w:type="dxa"/>
            <w:tcBorders/>
            <w:vAlign w:val="center"/>
          </w:tcPr>
          <w:p>
            <w:pPr>
              <w:pStyle w:val="TableContents"/>
              <w:bidi w:val="0"/>
              <w:spacing w:before="0" w:after="283"/>
              <w:jc w:val="left"/>
              <w:rPr/>
            </w:pPr>
            <w:r>
              <w:rPr/>
              <w:t>pledges or deposits in the ordinary course of business in connection with workers’ compensation, unemployment insurance and other social security legislation, other than any Lien imposed by ERISA;</w:t>
            </w:r>
          </w:p>
        </w:tc>
      </w:tr>
    </w:tbl>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(f)</w:t>
            </w:r>
          </w:p>
        </w:tc>
        <w:tc>
          <w:tcPr>
            <w:tcW w:w="9973" w:type="dxa"/>
            <w:tcBorders/>
            <w:vAlign w:val="center"/>
          </w:tcPr>
          <w:p>
            <w:pPr>
              <w:pStyle w:val="TableContents"/>
              <w:bidi w:val="0"/>
              <w:spacing w:before="0" w:after="283"/>
              <w:jc w:val="left"/>
              <w:rPr/>
            </w:pPr>
            <w:r>
              <w:rPr/>
              <w:t>deposits to secure the performance of bids, contracts and leases (other than Indebtedness), licenses, statutory obligations, surety, stay and appeal bonds, indemnity, performance and other similar bonds and other obligations of a like nature incurred in the ordinary course of business;</w:t>
            </w:r>
          </w:p>
        </w:tc>
      </w:tr>
    </w:tbl>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(g)</w:t>
            </w:r>
          </w:p>
        </w:tc>
        <w:tc>
          <w:tcPr>
            <w:tcW w:w="9926" w:type="dxa"/>
            <w:tcBorders/>
            <w:vAlign w:val="center"/>
          </w:tcPr>
          <w:p>
            <w:pPr>
              <w:pStyle w:val="TableContents"/>
              <w:bidi w:val="0"/>
              <w:spacing w:before="0" w:after="283"/>
              <w:jc w:val="left"/>
              <w:rPr/>
            </w:pPr>
            <w:r>
              <w:rPr/>
              <w:t>easements, rights-of-way, restrictions and other similar encumbrances affecting real property which, in the aggregate, are not substantial in amount, and which do not in any case materially interfere with the ordinary conduct of the business of the applicable Person;</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(h)</w:t>
            </w:r>
          </w:p>
        </w:tc>
        <w:tc>
          <w:tcPr>
            <w:tcW w:w="9910" w:type="dxa"/>
            <w:tcBorders/>
            <w:vAlign w:val="center"/>
          </w:tcPr>
          <w:p>
            <w:pPr>
              <w:pStyle w:val="TableContents"/>
              <w:bidi w:val="0"/>
              <w:spacing w:before="0" w:after="283"/>
              <w:jc w:val="left"/>
              <w:rPr/>
            </w:pPr>
            <w:r>
              <w:rPr/>
              <w:t>Liens securing judgments for the payment of money (or appeal or other surety bonds relating to such judgments) not constituting an Event of Default under Section 8.01(h);</w:t>
            </w:r>
          </w:p>
        </w:tc>
      </w:tr>
    </w:tbl>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283"/>
              <w:jc w:val="left"/>
              <w:rPr/>
            </w:pPr>
            <w:r>
              <w:rPr/>
              <w:t xml:space="preserve">Liens securing Indebtedness permitted under Section 7.02(c); </w:t>
            </w:r>
            <w:r>
              <w:rPr>
                <w:u w:val="single"/>
              </w:rPr>
              <w:t>provided</w:t>
            </w:r>
            <w:r>
              <w:rPr/>
              <w:t xml:space="preserve"> that (i) such Liens do not at any time encumber any property other than the property financed, acquired, developed, constructed, purchased, leased, repaired or improved by such Indebtedness and (ii) the Indebtedness secured thereby at the time incurred does not exceed the lower of the cost of such acquisition, development, construction, purchase, lease, repair or improvement or the fair market value of the applicable property;</w:t>
            </w:r>
          </w:p>
        </w:tc>
      </w:tr>
    </w:tbl>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(j)</w:t>
            </w:r>
          </w:p>
        </w:tc>
        <w:tc>
          <w:tcPr>
            <w:tcW w:w="10003" w:type="dxa"/>
            <w:tcBorders/>
            <w:vAlign w:val="center"/>
          </w:tcPr>
          <w:p>
            <w:pPr>
              <w:pStyle w:val="TableContents"/>
              <w:bidi w:val="0"/>
              <w:spacing w:before="0" w:after="283"/>
              <w:jc w:val="left"/>
              <w:rPr/>
            </w:pPr>
            <w:r>
              <w:rPr/>
              <w:t>bankers’ Liens, rights of setoff and other similar Liens existing solely with respect to cash, Cash Equivalents and other items on deposit in one or more accounts maintained by any Borrower or any of its Subsidiaries with any depository institution, securities intermediary or commodities intermediary, in each case in the ordinary course of business in favor of the institutions with which such accounts are maintained including any Liens and rights of setoff created under a bank's standard terms and conditions, including the terms and conditions of the Dutch Banks' Association (</w:t>
            </w:r>
            <w:r>
              <w:rPr>
                <w:i/>
              </w:rPr>
              <w:t>Nederlandse Vereniging voor Banken</w:t>
            </w:r>
            <w:r>
              <w:rPr/>
              <w:t>) or similar terms and conditions;</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(k)</w:t>
            </w:r>
          </w:p>
        </w:tc>
        <w:tc>
          <w:tcPr>
            <w:tcW w:w="9927" w:type="dxa"/>
            <w:tcBorders/>
            <w:vAlign w:val="center"/>
          </w:tcPr>
          <w:p>
            <w:pPr>
              <w:pStyle w:val="TableContents"/>
              <w:bidi w:val="0"/>
              <w:spacing w:before="0" w:after="283"/>
              <w:jc w:val="left"/>
              <w:rPr/>
            </w:pPr>
            <w:r>
              <w:rPr/>
              <w:t xml:space="preserve">Liens arising out of judgments or awards not resulting in an Event of Default; </w:t>
            </w:r>
            <w:r>
              <w:rPr>
                <w:u w:val="single"/>
              </w:rPr>
              <w:t>provided</w:t>
            </w:r>
            <w:r>
              <w:rPr/>
              <w:t xml:space="preserve"> the applicable Loan Party or Subsidiary shall in good faith be prosecuting an appeal or proceedings for review or the period for commencing such appeal or proceeding shall not have expired;</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(l)</w:t>
            </w:r>
          </w:p>
        </w:tc>
        <w:tc>
          <w:tcPr>
            <w:tcW w:w="9983" w:type="dxa"/>
            <w:tcBorders/>
            <w:vAlign w:val="center"/>
          </w:tcPr>
          <w:p>
            <w:pPr>
              <w:pStyle w:val="TableContents"/>
              <w:bidi w:val="0"/>
              <w:spacing w:before="0" w:after="283"/>
              <w:jc w:val="left"/>
              <w:rPr/>
            </w:pPr>
            <w:r>
              <w:rPr/>
              <w:t>Any interest or title of a lessee, licensee or sublessee under any lease, license or sublease entered into by any Loan Party or any Subsidiary thereof in the ordinary course of business or in connection with any Disposition permitted hereunder;</w:t>
            </w:r>
          </w:p>
        </w:tc>
      </w:tr>
    </w:tbl>
    <w:tbl>
      <w:tblPr>
        <w:tblW w:w="5000" w:type="pct"/>
        <w:jc w:val="left"/>
        <w:tblInd w:w="0" w:type="dxa"/>
        <w:tblLayout w:type="fixed"/>
        <w:tblCellMar>
          <w:top w:w="0" w:type="dxa"/>
          <w:left w:w="0" w:type="dxa"/>
          <w:bottom w:w="0" w:type="dxa"/>
          <w:right w:w="0" w:type="dxa"/>
        </w:tblCellMar>
      </w:tblPr>
      <w:tblGrid>
        <w:gridCol w:w="38"/>
        <w:gridCol w:w="353"/>
        <w:gridCol w:w="9814"/>
      </w:tblGrid>
      <w:tr>
        <w:trPr/>
        <w:tc>
          <w:tcPr>
            <w:tcW w:w="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(m)</w:t>
            </w:r>
          </w:p>
        </w:tc>
        <w:tc>
          <w:tcPr>
            <w:tcW w:w="9814" w:type="dxa"/>
            <w:tcBorders/>
            <w:vAlign w:val="center"/>
          </w:tcPr>
          <w:p>
            <w:pPr>
              <w:pStyle w:val="TableContents"/>
              <w:bidi w:val="0"/>
              <w:spacing w:before="0" w:after="283"/>
              <w:jc w:val="left"/>
              <w:rPr/>
            </w:pPr>
            <w:r>
              <w:rPr/>
              <w:t>Liens of a collection bank arising under Section 4-210 of the UCC on items in the course of collection;</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(n)</w:t>
            </w:r>
          </w:p>
        </w:tc>
        <w:tc>
          <w:tcPr>
            <w:tcW w:w="9942" w:type="dxa"/>
            <w:tcBorders/>
            <w:vAlign w:val="center"/>
          </w:tcPr>
          <w:p>
            <w:pPr>
              <w:pStyle w:val="TableContents"/>
              <w:bidi w:val="0"/>
              <w:spacing w:before="0" w:after="283"/>
              <w:jc w:val="left"/>
              <w:rPr/>
            </w:pPr>
            <w:r>
              <w:rPr/>
              <w:t xml:space="preserve">Liens on property of a Person existing at the time such Person is merged into or consolidated with any Borrower or any Subsidiary of any Borrower or becomes a Subsidiary of any Borrower; </w:t>
            </w:r>
            <w:r>
              <w:rPr>
                <w:u w:val="single"/>
              </w:rPr>
              <w:t>provided</w:t>
            </w:r>
            <w:r>
              <w:rPr/>
              <w:t xml:space="preserve"> that such Liens were not created in contemplation of such merger, consolidation or Investment and do not extend to any assets other than those of the Person merged into or consolidated with such Borrower or such Subsidiary or acquired by such Borrower or such Subsidiary, and the applicable obligations secured by such Lien to the extent constituting Indebtedness are permitted under Section 7.02; and</w:t>
            </w:r>
          </w:p>
        </w:tc>
      </w:tr>
    </w:tbl>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(o)</w:t>
            </w:r>
          </w:p>
        </w:tc>
        <w:tc>
          <w:tcPr>
            <w:tcW w:w="9932" w:type="dxa"/>
            <w:tcBorders/>
            <w:vAlign w:val="center"/>
          </w:tcPr>
          <w:p>
            <w:pPr>
              <w:pStyle w:val="TableContents"/>
              <w:bidi w:val="0"/>
              <w:spacing w:before="0" w:after="283"/>
              <w:jc w:val="left"/>
              <w:rPr/>
            </w:pPr>
            <w:r>
              <w:rPr/>
              <w:t>Liens on assets of Foreign Subsidiaries to secure permitted Indebtedness and other obligations of such Foreign Subsidiaries; provided that the aggregate outstanding principal amount of Indebtedness or other obligations secured by such Liens on the assets of Foreign Subsidiaries that are Loan Parties may not exceed $5,000,000;</w:t>
            </w:r>
          </w:p>
        </w:tc>
      </w:tr>
    </w:tbl>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(p)</w:t>
            </w:r>
          </w:p>
        </w:tc>
        <w:tc>
          <w:tcPr>
            <w:tcW w:w="9896" w:type="dxa"/>
            <w:tcBorders/>
            <w:vAlign w:val="center"/>
          </w:tcPr>
          <w:p>
            <w:pPr>
              <w:pStyle w:val="TableContents"/>
              <w:bidi w:val="0"/>
              <w:spacing w:before="0" w:after="283"/>
              <w:jc w:val="left"/>
              <w:rPr/>
            </w:pPr>
            <w:r>
              <w:rPr/>
              <w:t>other Liens securing Indebtedness or other obligations outstanding in an aggregate principal amount not to exceed $10,000,000; and</w:t>
            </w:r>
          </w:p>
        </w:tc>
      </w:tr>
    </w:tbl>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(q)</w:t>
            </w:r>
          </w:p>
        </w:tc>
        <w:tc>
          <w:tcPr>
            <w:tcW w:w="9900" w:type="dxa"/>
            <w:tcBorders/>
            <w:vAlign w:val="center"/>
          </w:tcPr>
          <w:p>
            <w:pPr>
              <w:pStyle w:val="TableContents"/>
              <w:bidi w:val="0"/>
              <w:spacing w:before="0" w:after="283"/>
              <w:jc w:val="left"/>
              <w:rPr/>
            </w:pPr>
            <w:r>
              <w:rPr/>
              <w:t>Liens in favor of any Foreign Obligation Provider securing the Foreign Subsidiary Secured Obligations permitted pursuant to Section 7.02(l).</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80.02     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incur, assume or suffer to exist any Indebtedness, except:</w:t>
      </w:r>
    </w:p>
    <w:tbl>
      <w:tblPr>
        <w:tblW w:w="5000" w:type="pct"/>
        <w:jc w:val="left"/>
        <w:tblInd w:w="0" w:type="dxa"/>
        <w:tblLayout w:type="fixed"/>
        <w:tblCellMar>
          <w:top w:w="0" w:type="dxa"/>
          <w:left w:w="0" w:type="dxa"/>
          <w:bottom w:w="0" w:type="dxa"/>
          <w:right w:w="0" w:type="dxa"/>
        </w:tblCellMar>
      </w:tblPr>
      <w:tblGrid>
        <w:gridCol w:w="90"/>
        <w:gridCol w:w="656"/>
        <w:gridCol w:w="9459"/>
      </w:tblGrid>
      <w:tr>
        <w:trPr/>
        <w:tc>
          <w:tcPr>
            <w:tcW w:w="9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pPr>
            <w:r>
              <w:rPr/>
              <w:t>(a)</w:t>
            </w:r>
          </w:p>
        </w:tc>
        <w:tc>
          <w:tcPr>
            <w:tcW w:w="9459" w:type="dxa"/>
            <w:tcBorders/>
            <w:vAlign w:val="center"/>
          </w:tcPr>
          <w:p>
            <w:pPr>
              <w:pStyle w:val="TableContents"/>
              <w:bidi w:val="0"/>
              <w:spacing w:before="0" w:after="283"/>
              <w:jc w:val="left"/>
              <w:rPr/>
            </w:pPr>
            <w:r>
              <w:rPr/>
              <w:t>Indebtedness under the Loan Documents;</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 xml:space="preserve">Indebtedness outstanding on the date hereof and listed on </w:t>
            </w:r>
            <w:r>
              <w:rPr>
                <w:u w:val="single"/>
              </w:rPr>
              <w:t>Schedule 7.02(b)</w:t>
            </w:r>
            <w:r>
              <w:rPr/>
              <w:t xml:space="preserve"> and any refinancings, refundings, renewals or extensions thereof; </w:t>
            </w:r>
            <w:r>
              <w:rPr>
                <w:u w:val="single"/>
              </w:rPr>
              <w:t>provided</w:t>
            </w:r>
            <w:r>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unutilized thereunder and the direct or any contingent obligor with respect thereto is not changed, as a result of or in connection with such refinancing, refunding, renewal or extension;</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left"/>
              <w:rPr/>
            </w:pPr>
            <w:r>
              <w:rPr/>
              <w:t xml:space="preserve">Indebtedness in respect of Capitalized Leases, Synthetic Lease Obligations and purchase money obligations incurred to finance or reimburse the cost of the acquisition, development, construction, purchase, lease, repair or improvement of property (real or personal) used or useful in a Permitted Business, whether through the direct purchase of assets or the Equity Interests of any Person that owns no other assets or property than those that would be permitted to be purchased directly under this clause (c) (which Indebtedness may be issued at any time within 180 days of such acquisition, development, construction, purchase, lease, repair or improvement) and any refinancing, refunding, renewal or extension thereof consistent with the proviso to Section 7.01(b); </w:t>
            </w:r>
            <w:r>
              <w:rPr>
                <w:u w:val="single"/>
              </w:rPr>
              <w:t>provided</w:t>
            </w:r>
            <w:r>
              <w:rPr/>
              <w:t xml:space="preserve">, </w:t>
            </w:r>
            <w:r>
              <w:rPr>
                <w:u w:val="single"/>
              </w:rPr>
              <w:t>however</w:t>
            </w:r>
            <w:r>
              <w:rPr/>
              <w:t>, that the aggregate amount of all such Indebtedness at any one time outstanding shall not exceed $20,000,000;</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left"/>
              <w:rPr/>
            </w:pPr>
            <w:r>
              <w:rPr/>
              <w:t>(i) Unsecured Indebtedness of a Borrower or a Subsidiary of a Borrower owed to a Borrower or a Subsidiary of any Borrower, which Indebtedness shall (A) if owed to a Loan Party, to the extent required by the Administrative Agent, be evidenced by promissory notes which shall be pledged to the Administrative Agent as Collateral for the Secured Obligations in accordance with the terms of the Security Agreement and (B) be otherwise permitted under the provisions of Section 7.03, and (ii) Indebtedness of a Subsidiary that is not a Loan Party owed to another Subsidiary that is not a Loan Party (clause (i) and (ii), collectively, “</w:t>
            </w:r>
            <w:r>
              <w:rPr>
                <w:u w:val="single"/>
              </w:rPr>
              <w:t>Intercompany Debt</w:t>
            </w:r>
            <w:r>
              <w:rPr/>
              <w:t>”);</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(e)</w:t>
            </w:r>
          </w:p>
        </w:tc>
        <w:tc>
          <w:tcPr>
            <w:tcW w:w="9939" w:type="dxa"/>
            <w:tcBorders/>
            <w:vAlign w:val="center"/>
          </w:tcPr>
          <w:p>
            <w:pPr>
              <w:pStyle w:val="TableContents"/>
              <w:bidi w:val="0"/>
              <w:spacing w:before="0" w:after="283"/>
              <w:jc w:val="left"/>
              <w:rPr/>
            </w:pPr>
            <w:r>
              <w:rPr/>
              <w:t>Guarantees of (i) the Loan Parties in respect of Indebtedness otherwise permitted hereunder of the Loan Parties and (ii) Subsidiaries that are not Loan Parties of Indebtedness otherwise permitted hereunder of the Loan Parties or any other Subsidiary;</w:t>
            </w:r>
          </w:p>
        </w:tc>
      </w:tr>
    </w:tbl>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(f)</w:t>
            </w:r>
          </w:p>
        </w:tc>
        <w:tc>
          <w:tcPr>
            <w:tcW w:w="9991" w:type="dxa"/>
            <w:tcBorders/>
            <w:vAlign w:val="center"/>
          </w:tcPr>
          <w:p>
            <w:pPr>
              <w:pStyle w:val="TableContents"/>
              <w:bidi w:val="0"/>
              <w:spacing w:before="0" w:after="283"/>
              <w:jc w:val="left"/>
              <w:rPr/>
            </w:pPr>
            <w:r>
              <w:rPr/>
              <w:t xml:space="preserve">Indebtedness of any Person that becomes a Subsidiary of any Borrower after the date hereof in a transaction permitted hereunder in an aggregate principal amount not to exceed $20,000,000 at any time outstanding, </w:t>
            </w:r>
            <w:r>
              <w:rPr>
                <w:u w:val="single"/>
              </w:rPr>
              <w:t>provided</w:t>
            </w:r>
            <w:r>
              <w:rPr/>
              <w:t xml:space="preserve"> that such Indebtedness is existing at the time such Person becomes a Subsidiary of any Borrower and was not incurred solely in contemplation of such Person’s becoming a Subsidiary of such Borrower), and any refinancings, refundings, renewals or extensions thereof; </w:t>
            </w:r>
            <w:r>
              <w:rPr>
                <w:u w:val="single"/>
              </w:rPr>
              <w:t>provided</w:t>
            </w:r>
            <w:r>
              <w:rPr/>
              <w:t xml:space="preserve"> that the amount of such Indebtedness is not increased at the time of such refinancing, refunding, renewal or extension except by an amount equal to a reasonable premium or other reasonable amount paid, and accrued interest, fees and expenses reasonably incurred, in connection with such refinancing and by an amount equal to any existing commitments unutilized thereunder and the direct or any contingent obligor with respect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thereto is not changed, as a result of or in connection with such refinancing, refunding, renewal or extension;</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(g)</w:t>
            </w:r>
          </w:p>
        </w:tc>
        <w:tc>
          <w:tcPr>
            <w:tcW w:w="9929" w:type="dxa"/>
            <w:tcBorders/>
            <w:vAlign w:val="center"/>
          </w:tcPr>
          <w:p>
            <w:pPr>
              <w:pStyle w:val="TableContents"/>
              <w:bidi w:val="0"/>
              <w:spacing w:before="0" w:after="283"/>
              <w:jc w:val="left"/>
              <w:rPr/>
            </w:pPr>
            <w:r>
              <w:rPr/>
              <w:t>obligations (contingent or otherwise) existing or arising under any Swap Contract in respect of interest rate, currency, foreign exchange or commodities, provided that such obligations are (or were) entered into by such Person in the ordinary course of business and not for speculative purposes</w:t>
            </w:r>
            <w:r>
              <w:rPr>
                <w:b/>
              </w:rPr>
              <w:t>;</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(h)</w:t>
            </w:r>
          </w:p>
        </w:tc>
        <w:tc>
          <w:tcPr>
            <w:tcW w:w="9940" w:type="dxa"/>
            <w:tcBorders/>
            <w:vAlign w:val="center"/>
          </w:tcPr>
          <w:p>
            <w:pPr>
              <w:pStyle w:val="TableContents"/>
              <w:bidi w:val="0"/>
              <w:spacing w:before="0" w:after="283"/>
              <w:jc w:val="left"/>
              <w:rPr/>
            </w:pPr>
            <w:r>
              <w:rPr/>
              <w:t>Indebtedness incurred by a Borrower that (a) is expressly subordinate and junior in right of payment to the payment in full of the Obligations, which subordination terms shall be reasonably satisfactory to the Administrative Agent, and (b) (i) matures, (ii) is not mandatorily redeemable or redeemable at the option of the holder thereof, in whole or in part, until and (iii) does not have any regularly scheduled payments of principal until, in each case, after the date that is six months after the Maturity Date;</w:t>
            </w:r>
          </w:p>
        </w:tc>
      </w:tr>
    </w:tbl>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(i)</w:t>
            </w:r>
          </w:p>
        </w:tc>
        <w:tc>
          <w:tcPr>
            <w:tcW w:w="9975" w:type="dxa"/>
            <w:tcBorders/>
            <w:vAlign w:val="center"/>
          </w:tcPr>
          <w:p>
            <w:pPr>
              <w:pStyle w:val="TableContents"/>
              <w:bidi w:val="0"/>
              <w:spacing w:before="0" w:after="283"/>
              <w:jc w:val="left"/>
              <w:rPr/>
            </w:pPr>
            <w:r>
              <w:rPr/>
              <w:t>Indebtedness of Foreign Subsidiaries that is not guaranteed by any Borrower or Guarantor, as long as the aggregate outstanding principal amount thereof does not exceed $60,000,000 at any time;</w:t>
            </w:r>
          </w:p>
        </w:tc>
      </w:tr>
    </w:tbl>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(j)</w:t>
            </w:r>
          </w:p>
        </w:tc>
        <w:tc>
          <w:tcPr>
            <w:tcW w:w="10004" w:type="dxa"/>
            <w:tcBorders/>
            <w:vAlign w:val="center"/>
          </w:tcPr>
          <w:p>
            <w:pPr>
              <w:pStyle w:val="TableContents"/>
              <w:bidi w:val="0"/>
              <w:spacing w:before="0" w:after="283"/>
              <w:jc w:val="left"/>
              <w:rPr/>
            </w:pPr>
            <w:r>
              <w:rPr/>
              <w:t xml:space="preserve">Contingent Obligations (a) arising from endorsements of checks, drafts or other items of payment for collection or deposit in the ordinary course of business; (b) existing on the Closing Date as set forth on </w:t>
            </w:r>
            <w:r>
              <w:rPr>
                <w:u w:val="single"/>
              </w:rPr>
              <w:t>Schedule 7.02(j)</w:t>
            </w:r>
            <w:r>
              <w:rPr/>
              <w:t>, and any extension or renewal thereof that does not increase the amount of such Contingent Obligation when extended or renewed; (c) incurred in the ordinary course of business with respect to surety, appeal or performance bonds, leases, licenses, or other similar obligations; (d) arising from customary indemnification obligations in favor of purchasers in connection with dispositions of assets permitted hereunder; (e) arising under the Loan Documents; or (f) in an aggregate amount of $5,000,000 or less at any time;</w:t>
            </w:r>
          </w:p>
        </w:tc>
      </w:tr>
    </w:tbl>
    <w:tbl>
      <w:tblPr>
        <w:tblW w:w="5000" w:type="pct"/>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(k)</w:t>
            </w:r>
          </w:p>
        </w:tc>
        <w:tc>
          <w:tcPr>
            <w:tcW w:w="9871" w:type="dxa"/>
            <w:tcBorders/>
            <w:vAlign w:val="center"/>
          </w:tcPr>
          <w:p>
            <w:pPr>
              <w:pStyle w:val="TableContents"/>
              <w:bidi w:val="0"/>
              <w:spacing w:before="0" w:after="283"/>
              <w:jc w:val="left"/>
              <w:rPr/>
            </w:pPr>
            <w:r>
              <w:rPr/>
              <w:t>Indebtedness in respect of Swap Obligations permitted hereunder and Cash Management Agreements;</w:t>
            </w:r>
          </w:p>
        </w:tc>
      </w:tr>
    </w:tbl>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(l)</w:t>
            </w:r>
          </w:p>
        </w:tc>
        <w:tc>
          <w:tcPr>
            <w:tcW w:w="9971" w:type="dxa"/>
            <w:tcBorders/>
            <w:vAlign w:val="center"/>
          </w:tcPr>
          <w:p>
            <w:pPr>
              <w:pStyle w:val="TableContents"/>
              <w:bidi w:val="0"/>
              <w:spacing w:before="0" w:after="283"/>
              <w:jc w:val="left"/>
              <w:rPr/>
            </w:pPr>
            <w:r>
              <w:rPr/>
              <w:t>Indebtedness under the Foreign Obligation Loan Documents in an aggregate principal amount outstanding at any time not to exceed the Dollar Equivalent of $10,000,000; and</w:t>
            </w:r>
          </w:p>
        </w:tc>
      </w:tr>
    </w:tbl>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(m)</w:t>
            </w:r>
          </w:p>
        </w:tc>
        <w:tc>
          <w:tcPr>
            <w:tcW w:w="9827" w:type="dxa"/>
            <w:tcBorders/>
            <w:vAlign w:val="center"/>
          </w:tcPr>
          <w:p>
            <w:pPr>
              <w:pStyle w:val="TableContents"/>
              <w:bidi w:val="0"/>
              <w:spacing w:before="0" w:after="283"/>
              <w:jc w:val="left"/>
              <w:rPr/>
            </w:pPr>
            <w:r>
              <w:rPr/>
              <w:t>other unsecured Indebtedness in an aggregate principal amount not to exceed $20,000,000 at any time outstanding.</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80.03      </w:t>
      </w:r>
      <w:r>
        <w:rPr>
          <w:rFonts w:ascii="Times New Roman;Times;Serif" w:hAnsi="Times New Roman;Times;Serif"/>
          <w:b/>
          <w:i w:val="false"/>
          <w:caps w:val="false"/>
          <w:smallCaps w:val="false"/>
          <w:sz w:val="20"/>
          <w:u w:val="single"/>
        </w:rPr>
        <w:t>Investments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or hold any Investments, except: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0"/>
        <w:gridCol w:w="292"/>
        <w:gridCol w:w="9873"/>
      </w:tblGrid>
      <w:tr>
        <w:trPr/>
        <w:tc>
          <w:tcPr>
            <w:tcW w:w="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(a)</w:t>
            </w:r>
          </w:p>
        </w:tc>
        <w:tc>
          <w:tcPr>
            <w:tcW w:w="9873" w:type="dxa"/>
            <w:tcBorders/>
            <w:vAlign w:val="center"/>
          </w:tcPr>
          <w:p>
            <w:pPr>
              <w:pStyle w:val="TableContents"/>
              <w:bidi w:val="0"/>
              <w:spacing w:before="0" w:after="283"/>
              <w:jc w:val="left"/>
              <w:rPr/>
            </w:pPr>
            <w:r>
              <w:rPr/>
              <w:t>Investments held by the Borrowers and their Subsidiaries in the form of cash or Cash Equivalents;</w:t>
            </w:r>
          </w:p>
        </w:tc>
      </w:tr>
    </w:tbl>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left"/>
              <w:rPr/>
            </w:pPr>
            <w:r>
              <w:rPr/>
              <w:t>advances to officers, directors and employees of the Borrowers and Subsidiaries for salary, commissions, travel, entertainment, relocation and analogous ordinary business purposes in an aggregate amount outstanding not to exceed $2,000,000 at any time;</w:t>
            </w:r>
          </w:p>
        </w:tc>
      </w:tr>
    </w:tbl>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left"/>
              <w:rPr/>
            </w:pPr>
            <w:r>
              <w:rPr/>
              <w:t>(i) Investments by any Borrower and its Subsidiaries in their respective Subsidiaries outstanding on the date hereof, (ii) additional Investments by any Borrower and its Subsidiaries in Loan Parties, (</w:t>
            </w:r>
            <w:r>
              <w:rPr>
                <w:strike/>
                <w:color w:val="FF0000"/>
              </w:rPr>
              <w:t>iii</w:t>
            </w:r>
            <w:r>
              <w:rPr>
                <w:color w:val="0000FF"/>
                <w:u w:val="single"/>
              </w:rPr>
              <w:t>iii</w:t>
            </w:r>
            <w:r>
              <w:rPr/>
              <w:t>) additional Investments by Subsidiaries of any Borrower that are not Loan Parties in other Subsidiaries that are not Loan Parties and (</w:t>
            </w:r>
            <w:r>
              <w:rPr>
                <w:strike/>
                <w:color w:val="FF0000"/>
              </w:rPr>
              <w:t>iv</w:t>
            </w:r>
            <w:r>
              <w:rPr>
                <w:color w:val="0000FF"/>
                <w:u w:val="single"/>
              </w:rPr>
              <w:t>iv</w:t>
            </w:r>
            <w:r>
              <w:rPr/>
              <w:t>) so long as no Default has occurred and is continuing or would result from such Investment, additional Investments by the Loan Parties in Wholly-owned Subsidiaries that are not Loan Parties in an aggregate amount invested from the date hereof not to exceed (A) $15,000,000, plus (B) an amount equal to any returns (including dividends, interest, distributions, returns of principal, profits on sale, repayments, income and similar amounts) actually received in respect of any such Investment made pursuant to this clause (c) (provided, that amounts added pursuant to this clause (B) shall not, in any event, exceed the fair market value (as determined in good faith by the Parent) of the applicable Investment at the time such Investment was initially made);</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910" w:type="dxa"/>
            <w:tcBorders/>
            <w:vAlign w:val="center"/>
          </w:tcPr>
          <w:p>
            <w:pPr>
              <w:pStyle w:val="TableContents"/>
              <w:bidi w:val="0"/>
              <w:spacing w:before="0" w:after="283"/>
              <w:jc w:val="left"/>
              <w:rPr/>
            </w:pPr>
            <w:r>
              <w:rPr/>
              <w:t>Investments consisting of extensions of credit in the nature of accounts receivable or notes receivable arising from the grant of trade credit in the ordinary course of business;</w:t>
            </w:r>
          </w:p>
        </w:tc>
      </w:tr>
    </w:tbl>
    <w:tbl>
      <w:tblPr>
        <w:tblW w:w="5000" w:type="pct"/>
        <w:jc w:val="left"/>
        <w:tblInd w:w="0" w:type="dxa"/>
        <w:tblLayout w:type="fixed"/>
        <w:tblCellMar>
          <w:top w:w="0" w:type="dxa"/>
          <w:left w:w="0" w:type="dxa"/>
          <w:bottom w:w="0" w:type="dxa"/>
          <w:right w:w="0" w:type="dxa"/>
        </w:tblCellMar>
      </w:tblPr>
      <w:tblGrid>
        <w:gridCol w:w="97"/>
        <w:gridCol w:w="708"/>
        <w:gridCol w:w="9400"/>
      </w:tblGrid>
      <w:tr>
        <w:trPr/>
        <w:tc>
          <w:tcPr>
            <w:tcW w:w="9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pPr>
            <w:r>
              <w:rPr/>
              <w:t>(e)</w:t>
            </w:r>
          </w:p>
        </w:tc>
        <w:tc>
          <w:tcPr>
            <w:tcW w:w="9400" w:type="dxa"/>
            <w:tcBorders/>
            <w:vAlign w:val="center"/>
          </w:tcPr>
          <w:p>
            <w:pPr>
              <w:pStyle w:val="TableContents"/>
              <w:bidi w:val="0"/>
              <w:spacing w:before="0" w:after="283"/>
              <w:jc w:val="left"/>
              <w:rPr/>
            </w:pPr>
            <w:r>
              <w:rPr/>
              <w:t>Guarantees permitted by Section 7.02;</w:t>
            </w:r>
          </w:p>
        </w:tc>
      </w:tr>
    </w:tbl>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(f)</w:t>
            </w:r>
          </w:p>
        </w:tc>
        <w:tc>
          <w:tcPr>
            <w:tcW w:w="9934" w:type="dxa"/>
            <w:tcBorders/>
            <w:vAlign w:val="center"/>
          </w:tcPr>
          <w:p>
            <w:pPr>
              <w:pStyle w:val="TableContents"/>
              <w:bidi w:val="0"/>
              <w:spacing w:before="0" w:after="283"/>
              <w:jc w:val="left"/>
              <w:rPr/>
            </w:pPr>
            <w:r>
              <w:rPr/>
              <w:t xml:space="preserve">Investments existing on the date hereof (other than those referred to in Section 7.03(c)(i)) and set forth on </w:t>
            </w:r>
            <w:r>
              <w:rPr>
                <w:u w:val="single"/>
              </w:rPr>
              <w:t>Schedule 7.03</w:t>
            </w:r>
            <w:r>
              <w:rPr/>
              <w:t>;</w:t>
            </w:r>
          </w:p>
        </w:tc>
      </w:tr>
    </w:tbl>
    <w:tbl>
      <w:tblPr>
        <w:tblW w:w="5000" w:type="pct"/>
        <w:jc w:val="left"/>
        <w:tblInd w:w="0" w:type="dxa"/>
        <w:tblLayout w:type="fixed"/>
        <w:tblCellMar>
          <w:top w:w="0" w:type="dxa"/>
          <w:left w:w="0" w:type="dxa"/>
          <w:bottom w:w="0" w:type="dxa"/>
          <w:right w:w="0" w:type="dxa"/>
        </w:tblCellMar>
      </w:tblPr>
      <w:tblGrid>
        <w:gridCol w:w="150"/>
        <w:gridCol w:w="1153"/>
        <w:gridCol w:w="8902"/>
      </w:tblGrid>
      <w:tr>
        <w:trPr/>
        <w:tc>
          <w:tcPr>
            <w:tcW w:w="15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t>Permitted Acquisitions;</w:t>
            </w:r>
          </w:p>
        </w:tc>
      </w:tr>
    </w:tbl>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(h)</w:t>
            </w:r>
          </w:p>
        </w:tc>
        <w:tc>
          <w:tcPr>
            <w:tcW w:w="9925" w:type="dxa"/>
            <w:tcBorders/>
            <w:vAlign w:val="center"/>
          </w:tcPr>
          <w:p>
            <w:pPr>
              <w:pStyle w:val="TableContents"/>
              <w:bidi w:val="0"/>
              <w:spacing w:before="0" w:after="283"/>
              <w:jc w:val="left"/>
              <w:rPr/>
            </w:pPr>
            <w:r>
              <w:rPr/>
              <w:t>Investments (including debt obligations) received in connection with the bankruptcy or reorganization of suppliers and customers or in settlement of delinquent obligations of, and other disputes with, third parties arising in the ordinary course of business;</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8" w:type="dxa"/>
            <w:tcBorders/>
            <w:vAlign w:val="center"/>
          </w:tcPr>
          <w:p>
            <w:pPr>
              <w:pStyle w:val="TableContents"/>
              <w:bidi w:val="0"/>
              <w:spacing w:before="0" w:after="283"/>
              <w:jc w:val="left"/>
              <w:rPr/>
            </w:pPr>
            <w:r>
              <w:rPr/>
              <w:t>Investments consisting of the licensing or acquisition of Intellectual Property pursuant to joint marketing agreements, licenses or other agreements with other Persons;</w:t>
            </w:r>
          </w:p>
        </w:tc>
      </w:tr>
    </w:tbl>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(j)</w:t>
            </w:r>
          </w:p>
        </w:tc>
        <w:tc>
          <w:tcPr>
            <w:tcW w:w="9964" w:type="dxa"/>
            <w:tcBorders/>
            <w:vAlign w:val="center"/>
          </w:tcPr>
          <w:p>
            <w:pPr>
              <w:pStyle w:val="TableContents"/>
              <w:bidi w:val="0"/>
              <w:spacing w:before="0" w:after="283"/>
              <w:jc w:val="left"/>
              <w:rPr/>
            </w:pPr>
            <w:r>
              <w:rPr/>
              <w:t>Investments made as a result of the receipt of non-cash consideration from a Disposition that was made pursuant to and in compliance with Section 7.05;</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(k)</w:t>
            </w:r>
          </w:p>
        </w:tc>
        <w:tc>
          <w:tcPr>
            <w:tcW w:w="9911" w:type="dxa"/>
            <w:tcBorders/>
            <w:vAlign w:val="center"/>
          </w:tcPr>
          <w:p>
            <w:pPr>
              <w:pStyle w:val="TableContents"/>
              <w:bidi w:val="0"/>
              <w:spacing w:before="0" w:after="283"/>
              <w:jc w:val="left"/>
              <w:rPr/>
            </w:pPr>
            <w:r>
              <w:rPr/>
              <w:t>any acquisition of assets or Equity Interests solely in exchange for the issuance of Equity Interests of the Parent in connection with a transaction otherwise permitted hereunder;</w:t>
            </w:r>
          </w:p>
        </w:tc>
      </w:tr>
    </w:tbl>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(l)</w:t>
            </w:r>
          </w:p>
        </w:tc>
        <w:tc>
          <w:tcPr>
            <w:tcW w:w="9989" w:type="dxa"/>
            <w:tcBorders/>
            <w:vAlign w:val="center"/>
          </w:tcPr>
          <w:p>
            <w:pPr>
              <w:pStyle w:val="TableContents"/>
              <w:bidi w:val="0"/>
              <w:spacing w:before="0" w:after="283"/>
              <w:jc w:val="left"/>
              <w:rPr/>
            </w:pPr>
            <w:r>
              <w:rPr/>
              <w:t>Investments resulting from the acquisition of a Person that becomes a Subsidiary of any Borrower that is otherwise permitted by this Agreement, which Investments at the time of such acquisition were held by the acquired Persons and were not acquired in contemplation of such acquisition;</w:t>
            </w:r>
          </w:p>
        </w:tc>
      </w:tr>
    </w:tbl>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(m)</w:t>
            </w:r>
          </w:p>
        </w:tc>
        <w:tc>
          <w:tcPr>
            <w:tcW w:w="9845" w:type="dxa"/>
            <w:tcBorders/>
            <w:vAlign w:val="center"/>
          </w:tcPr>
          <w:p>
            <w:pPr>
              <w:pStyle w:val="TableContents"/>
              <w:bidi w:val="0"/>
              <w:spacing w:before="0" w:after="283"/>
              <w:jc w:val="left"/>
              <w:rPr/>
            </w:pPr>
            <w:r>
              <w:rPr/>
              <w:t>Investments resulting from pledges and deposits permitted under Section 7.01; and</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(n)</w:t>
            </w:r>
          </w:p>
        </w:tc>
        <w:tc>
          <w:tcPr>
            <w:tcW w:w="9845" w:type="dxa"/>
            <w:tcBorders/>
            <w:vAlign w:val="center"/>
          </w:tcPr>
          <w:p>
            <w:pPr>
              <w:pStyle w:val="TableContents"/>
              <w:bidi w:val="0"/>
              <w:spacing w:before="0" w:after="283"/>
              <w:jc w:val="left"/>
              <w:rPr/>
            </w:pPr>
            <w:r>
              <w:rPr/>
              <w:t>other Investments (i) not exceeding $35,000,000 in the aggregate in any fiscal year of the Parent (“</w:t>
            </w:r>
            <w:r>
              <w:rPr>
                <w:u w:val="single"/>
              </w:rPr>
              <w:t>General Investment Capacity</w:t>
            </w:r>
            <w:r>
              <w:rPr/>
              <w:t>”) and (ii) up to $20,000,000 of the unutilized amount of the General Investment Capacity (“</w:t>
            </w:r>
            <w:r>
              <w:rPr>
                <w:u w:val="single"/>
              </w:rPr>
              <w:t>Unused Amount</w:t>
            </w:r>
            <w:r>
              <w:rPr/>
              <w:t xml:space="preserve">”) from the immediately prior fiscal year; </w:t>
            </w:r>
            <w:r>
              <w:rPr>
                <w:u w:val="single"/>
              </w:rPr>
              <w:t>provided</w:t>
            </w:r>
            <w:r>
              <w:rPr/>
              <w:t xml:space="preserve"> the Loan Parties shall demonstrate to the reasonable satisfaction of the Administrative Agent that on a Pro Forma Basis at the time of and immediately after the making of any such Investment utilizing the Unused Amount, the Consolidated Net Leverage Ratio does not exceed 2.00 to 1.00 and no Event of Default shall have occurred and be continuing or result therefrom.</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80.04      </w:t>
      </w:r>
      <w:r>
        <w:rPr>
          <w:rFonts w:ascii="Times New Roman;Times;Serif" w:hAnsi="Times New Roman;Times;Serif"/>
          <w:b/>
          <w:i w:val="false"/>
          <w:caps w:val="false"/>
          <w:smallCaps w:val="false"/>
          <w:sz w:val="20"/>
          <w:u w:val="single"/>
        </w:rPr>
        <w:t>Fundamental Changes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dissolve, liquidate, consolidate with or into another Person, effectuate any division into two or more Persons or Dispose of (whether in one transaction or in a series of transactions) all or substantially all of its assets (whether now owned or hereafter acquired) to or in favor of any Person, except that, so long as no Default exists or would result therefrom:</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 xml:space="preserve">any Subsidiary may merge or consolidate with (i) any Borrower, </w:t>
            </w:r>
            <w:r>
              <w:rPr>
                <w:u w:val="single"/>
              </w:rPr>
              <w:t>provided</w:t>
            </w:r>
            <w:r>
              <w:rPr/>
              <w:t xml:space="preserve"> that such Borrower shall be the continuing or surviving Person, or (ii) any one or more other Subsidiaries, </w:t>
            </w:r>
            <w:r>
              <w:rPr>
                <w:u w:val="single"/>
              </w:rPr>
              <w:t>provided</w:t>
            </w:r>
            <w:r>
              <w:rPr/>
              <w:t xml:space="preserve"> that when any Loan Party is merging or consolidating with another Subsidiary that is not a Loan Party, such Loan Party shall be the continuing or surviving Person;</w:t>
            </w:r>
          </w:p>
        </w:tc>
      </w:tr>
    </w:tbl>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left"/>
              <w:rPr/>
            </w:pPr>
            <w:r>
              <w:rPr/>
              <w:t>any Loan Party may Dispose of all or substantially all of its assets (upon voluntary liquidation or otherwise) to any Borrower or to another Loan Party, and in connection therewith, dissolve or liquidate;</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left"/>
              <w:rPr/>
            </w:pPr>
            <w:r>
              <w:rPr/>
              <w:t>any Subsidiary that is not a Loan Party may dispose of all or substantially all its assets (including any Disposition that is in the nature of a liquidation) to (i) another Subsidiary that is not a Loan Party or (ii) to a Loan Party;</w:t>
            </w:r>
          </w:p>
        </w:tc>
      </w:tr>
    </w:tbl>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(d)</w:t>
            </w:r>
          </w:p>
        </w:tc>
        <w:tc>
          <w:tcPr>
            <w:tcW w:w="9900" w:type="dxa"/>
            <w:tcBorders/>
            <w:vAlign w:val="center"/>
          </w:tcPr>
          <w:p>
            <w:pPr>
              <w:pStyle w:val="TableContents"/>
              <w:bidi w:val="0"/>
              <w:spacing w:before="0" w:after="283"/>
              <w:jc w:val="left"/>
              <w:rPr/>
            </w:pPr>
            <w:r>
              <w:rPr/>
              <w:t>in connection with any Permitted Acquisition, any Subsidiary of any Borrower may merge into or consolidate with any other Person or permit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Person to merge into or consolidate with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Person surviving such merger shall be a Wholly-owned Subsidiary of a Borrower and (ii) in the case of any such merger to which any Loan Party (other than a Borrower) is a party, such Loan Party is the surviving Person; and</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left"/>
              <w:rPr/>
            </w:pPr>
            <w:r>
              <w:rPr/>
              <w:t xml:space="preserve">so long as no Default has occurred and is continuing or would result therefrom, each of the Borrowers and any of its Subsidiaries may merge into or consolidate with any other Person or permit any other Person to merge into or consolidate with it; </w:t>
            </w:r>
            <w:r>
              <w:rPr>
                <w:u w:val="single"/>
              </w:rPr>
              <w:t>provided, however</w:t>
            </w:r>
            <w:r>
              <w:rPr/>
              <w:t>, that in each case, immediately after giving effect thereto (i) in the case of any such merger to which any Borrower is a party, such Borrower is the surviving Person and (ii) in the case of any such merger to which any Loan Party (other than such Borrower) is a party, such Loan Party is the surviving Person.</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80.05      </w:t>
      </w:r>
      <w:r>
        <w:rPr>
          <w:rFonts w:ascii="Times New Roman;Times;Serif" w:hAnsi="Times New Roman;Times;Serif"/>
          <w:b/>
          <w:i w:val="false"/>
          <w:caps w:val="false"/>
          <w:smallCaps w:val="false"/>
          <w:sz w:val="20"/>
          <w:u w:val="single"/>
        </w:rPr>
        <w:t>Dispositions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Disposition or enter into any agreement to make any Disposition, except:</w:t>
      </w:r>
    </w:p>
    <w:tbl>
      <w:tblPr>
        <w:tblW w:w="5000" w:type="pct"/>
        <w:jc w:val="left"/>
        <w:tblInd w:w="0" w:type="dxa"/>
        <w:tblLayout w:type="fixed"/>
        <w:tblCellMar>
          <w:top w:w="0" w:type="dxa"/>
          <w:left w:w="0" w:type="dxa"/>
          <w:bottom w:w="0" w:type="dxa"/>
          <w:right w:w="0" w:type="dxa"/>
        </w:tblCellMar>
      </w:tblPr>
      <w:tblGrid>
        <w:gridCol w:w="172"/>
        <w:gridCol w:w="1245"/>
        <w:gridCol w:w="8788"/>
      </w:tblGrid>
      <w:tr>
        <w:trPr/>
        <w:tc>
          <w:tcPr>
            <w:tcW w:w="17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(a)</w:t>
            </w:r>
          </w:p>
        </w:tc>
        <w:tc>
          <w:tcPr>
            <w:tcW w:w="8788" w:type="dxa"/>
            <w:tcBorders/>
            <w:vAlign w:val="center"/>
          </w:tcPr>
          <w:p>
            <w:pPr>
              <w:pStyle w:val="TableContents"/>
              <w:bidi w:val="0"/>
              <w:spacing w:before="0" w:after="283"/>
              <w:jc w:val="left"/>
              <w:rPr/>
            </w:pPr>
            <w:r>
              <w:rPr/>
              <w:t>Permitted Transfers;</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t>Dispositions of obsolete or worn out property and Dispositions of property no longer used or useful in the conduct of the business of the Parent and its Subsidiaries, whether now owned or hereafter acquired, in the ordinary course of business;</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left"/>
              <w:rPr/>
            </w:pPr>
            <w:r>
              <w:rPr/>
              <w:t>Dispositions of Intellectual Property, whether now owned or hereafter acquired, in the ordinary course of business and abandonment of Intellectual Property of any Borrower or any Subsidiary determined in good faith by the Parent to be no longer useful in the operation of the business of the Borrowers and their Subsidiaries;</w:t>
            </w:r>
          </w:p>
        </w:tc>
      </w:tr>
    </w:tbl>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left"/>
              <w:rPr/>
            </w:pPr>
            <w:r>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(e)</w:t>
            </w:r>
          </w:p>
        </w:tc>
        <w:tc>
          <w:tcPr>
            <w:tcW w:w="9923" w:type="dxa"/>
            <w:tcBorders/>
            <w:vAlign w:val="center"/>
          </w:tcPr>
          <w:p>
            <w:pPr>
              <w:pStyle w:val="TableContents"/>
              <w:bidi w:val="0"/>
              <w:spacing w:before="0" w:after="283"/>
              <w:jc w:val="left"/>
              <w:rPr/>
            </w:pPr>
            <w:r>
              <w:rPr/>
              <w:t>Liens permitted by Section 7.01, Investments permitted by Section 7.03, transactions permitted by Section 7.04 and Restricted Payments permitted by Section 7.06; and</w:t>
            </w:r>
          </w:p>
        </w:tc>
      </w:tr>
    </w:tbl>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283"/>
              <w:jc w:val="left"/>
              <w:rPr/>
            </w:pPr>
            <w:r>
              <w:rPr/>
              <w:t>other Dispositions so long as (i) not less than 75% of the consideration paid in connection therewith shall be cash or Cash Equivalents paid contemporaneously with consummation of the transaction and shall be in an amount not less than the fair market value of the property disposed of, (ii) such transaction does not involve a sale or other disposition of receivables of a Loan Party other than receivables owned by or</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attributable to other property concurrently being disposed of in a transaction otherwise permitted under this Section, and (iii) the aggregate net book value of all of the assets sold or otherwise disposed of by the Loan Parties and their Subsidiaries in all such transactions in any fiscal year of the Parent shall not exceed $20,000,000.</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80.06      </w:t>
      </w:r>
      <w:r>
        <w:rPr>
          <w:rFonts w:ascii="Times New Roman;Times;Serif" w:hAnsi="Times New Roman;Times;Serif"/>
          <w:b/>
          <w:i w:val="false"/>
          <w:caps w:val="false"/>
          <w:smallCaps w:val="false"/>
          <w:sz w:val="20"/>
          <w:u w:val="single"/>
        </w:rPr>
        <w:t>Restricted Payments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or make, directly or indirectly, any Restricted Payment, or incur any obligation (contingent or otherwise) to do so, except that, so long as no Default shall have occurred and be continuing at the time of any action described below or would result therefrom:</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left"/>
              <w:rPr/>
            </w:pPr>
            <w:r>
              <w:rPr/>
              <w:t>each Subsidiary may make Restricted Payments to any Person that owns Equity Interests in such Subsidiary, ratably according to their respective holdings of the type of Equity Interest in respect of which such Restricted Payment is being made;</w:t>
            </w:r>
          </w:p>
        </w:tc>
      </w:tr>
    </w:tbl>
    <w:tbl>
      <w:tblPr>
        <w:tblW w:w="5000" w:type="pct"/>
        <w:jc w:val="left"/>
        <w:tblInd w:w="0" w:type="dxa"/>
        <w:tblLayout w:type="fixed"/>
        <w:tblCellMar>
          <w:top w:w="0" w:type="dxa"/>
          <w:left w:w="0" w:type="dxa"/>
          <w:bottom w:w="0" w:type="dxa"/>
          <w:right w:w="0" w:type="dxa"/>
        </w:tblCellMar>
      </w:tblPr>
      <w:tblGrid>
        <w:gridCol w:w="70"/>
        <w:gridCol w:w="540"/>
        <w:gridCol w:w="9595"/>
      </w:tblGrid>
      <w:tr>
        <w:trPr/>
        <w:tc>
          <w:tcPr>
            <w:tcW w:w="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pPr>
            <w:r>
              <w:rPr/>
              <w:t>(b)</w:t>
            </w:r>
          </w:p>
        </w:tc>
        <w:tc>
          <w:tcPr>
            <w:tcW w:w="9595" w:type="dxa"/>
            <w:tcBorders/>
            <w:vAlign w:val="center"/>
          </w:tcPr>
          <w:p>
            <w:pPr>
              <w:pStyle w:val="TableContents"/>
              <w:bidi w:val="0"/>
              <w:spacing w:before="0" w:after="283"/>
              <w:jc w:val="left"/>
              <w:rPr/>
            </w:pPr>
            <w:r>
              <w:rPr/>
              <w:t>the Borrowers may make Permitted Tax Distributions;</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left"/>
              <w:rPr/>
            </w:pPr>
            <w:r>
              <w:rPr/>
              <w:t>the Borrowers and each Subsidiary may declare and make dividend payments or other distributions payable solely in common Equity Interests of such Person;</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left"/>
              <w:rPr/>
            </w:pPr>
            <w:r>
              <w:rPr/>
              <w:t>the repurchase of Equity Interests deemed to occur upon the exercise of stock options, warrants, convertible notes or similar rights to the extent that such Equity Interests represent a portion of the exercise price of those stock options, warrants or similar rights or the payment of related withholding taxes;</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(e)</w:t>
            </w:r>
          </w:p>
        </w:tc>
        <w:tc>
          <w:tcPr>
            <w:tcW w:w="9921" w:type="dxa"/>
            <w:tcBorders/>
            <w:vAlign w:val="center"/>
          </w:tcPr>
          <w:p>
            <w:pPr>
              <w:pStyle w:val="TableContents"/>
              <w:bidi w:val="0"/>
              <w:spacing w:before="0" w:after="283"/>
              <w:jc w:val="left"/>
              <w:rPr/>
            </w:pPr>
            <w:r>
              <w:rPr/>
              <w:t>the payment of cash in lieu of fractional Equity Interests upon the exercise of stock options or warrants or upon the conversion or exchange of Equity Interests;</w:t>
            </w:r>
          </w:p>
        </w:tc>
      </w:tr>
    </w:tbl>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(f)</w:t>
            </w:r>
          </w:p>
        </w:tc>
        <w:tc>
          <w:tcPr>
            <w:tcW w:w="9985" w:type="dxa"/>
            <w:tcBorders/>
            <w:vAlign w:val="center"/>
          </w:tcPr>
          <w:p>
            <w:pPr>
              <w:pStyle w:val="TableContents"/>
              <w:bidi w:val="0"/>
              <w:spacing w:before="0" w:after="283"/>
              <w:jc w:val="left"/>
              <w:rPr/>
            </w:pPr>
            <w:r>
              <w:rPr/>
              <w:t xml:space="preserve">the Borrowers may make other Restricted Payments, </w:t>
            </w:r>
            <w:r>
              <w:rPr>
                <w:u w:val="single"/>
              </w:rPr>
              <w:t>provided</w:t>
            </w:r>
            <w:r>
              <w:rPr/>
              <w:t xml:space="preserve"> that the Loan Parties shall demonstrate to the reasonable satisfaction of the Administrative Agent that, after giving effect to such transaction on a Pro Forma Basis, (i) the Loan Parties are in Pro Forma Compliance and (ii) the Consolidated Net Leverage Ratio shall be at least 0.25 to 1.0 less than the then applicable level set forth in Section 7.11, calculated using the same Measurement Period used to determine Pro Forma Compliance; and</w:t>
            </w:r>
          </w:p>
        </w:tc>
      </w:tr>
    </w:tbl>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(g)</w:t>
            </w:r>
          </w:p>
        </w:tc>
        <w:tc>
          <w:tcPr>
            <w:tcW w:w="9938" w:type="dxa"/>
            <w:tcBorders/>
            <w:vAlign w:val="center"/>
          </w:tcPr>
          <w:p>
            <w:pPr>
              <w:pStyle w:val="TableContents"/>
              <w:bidi w:val="0"/>
              <w:spacing w:before="0" w:after="283"/>
              <w:jc w:val="left"/>
              <w:rPr/>
            </w:pPr>
            <w:r>
              <w:rPr/>
              <w:t xml:space="preserve">any non-Wholly-owned Subsidiary may buy or redeem Equity Interests held by minority equity holders, </w:t>
            </w:r>
            <w:r>
              <w:rPr>
                <w:u w:val="single"/>
              </w:rPr>
              <w:t>provided</w:t>
            </w:r>
            <w:r>
              <w:rPr/>
              <w:t xml:space="preserve"> that the Loan Parties shall demonstrate to the reasonable satisfaction of the Administrative Agent that, after giving effect to such transaction on a Pro Forma Basis, (i) the Loan Parties are in Pro Forma Compliance and (ii) the Consolidated Net Leverage Ratio shall be at least 0.25 to 1.0 less than the then applicable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set forth in Section 7.11, calculated using the same Measurement Period used to determine Pro Forma Compliance.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80.07      </w:t>
      </w:r>
      <w:r>
        <w:rPr>
          <w:rFonts w:ascii="Times New Roman;Times;Serif" w:hAnsi="Times New Roman;Times;Serif"/>
          <w:b/>
          <w:i w:val="false"/>
          <w:caps w:val="false"/>
          <w:smallCaps w:val="false"/>
          <w:sz w:val="20"/>
          <w:u w:val="single"/>
        </w:rPr>
        <w:t>Change in Nature of Business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any material line of business substantially different from those lines of business conducted by the Parent, the other Borrowers and their Subsidiaries on the date hereof or any business substantially related or incidental thereto or a reasonable extension thereof.</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80.08     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Enter into or be party to any transaction with an Affiliate, except (a) transactions contemplated by the Loan Documents; (b) payment of reasonable compensation to officers and employees for services actually rendered and provision of benefits thereto in the ordinary course of business; (c) payment of customary directors’ fees, expenses and indemnities; (d) transactions solely among Borrowers and Guarantors (or any Person that becomes a Borrower or Guarantor in connection with such transaction); (e) transactions with Affiliates that were entered into prior to the Closing Date, as shown on </w:t>
      </w:r>
      <w:r>
        <w:rPr>
          <w:rFonts w:ascii="Times New Roman;Times;Serif" w:hAnsi="Times New Roman;Times;Serif"/>
          <w:b w:val="false"/>
          <w:i w:val="false"/>
          <w:caps w:val="false"/>
          <w:smallCaps w:val="false"/>
          <w:sz w:val="20"/>
          <w:u w:val="single"/>
        </w:rPr>
        <w:t>Schedule 7.08</w:t>
      </w:r>
      <w:r>
        <w:rPr>
          <w:rFonts w:ascii="Times New Roman;Times;Serif" w:hAnsi="Times New Roman;Times;Serif"/>
          <w:b w:val="false"/>
          <w:i w:val="false"/>
          <w:caps w:val="false"/>
          <w:smallCaps w:val="false"/>
          <w:sz w:val="20"/>
        </w:rPr>
        <w:t xml:space="preserve">; (f) transactions with Affiliates undertaken in good faith, upon fair and reasonable terms fully disclosed to the Administrative Agent (upon the Administrative Agent’s request) and no less favorable than would be obtained in a comparable arm’s-length transaction with a non-Affiliate; (g) indemnification, noncompetition and confidentiality arrangements with employees and directors in the ordinary course of business; (h) transactions solely among Subsidiaries that are not Loan Parties; (i) loans and advances to officers and employees permitted under this Agreement; (j) Investments permitted under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and (k) Restricted Payments permitted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80.09      </w:t>
      </w:r>
      <w:r>
        <w:rPr>
          <w:rFonts w:ascii="Times New Roman;Times;Serif" w:hAnsi="Times New Roman;Times;Serif"/>
          <w:b/>
          <w:i w:val="false"/>
          <w:caps w:val="false"/>
          <w:smallCaps w:val="false"/>
          <w:sz w:val="20"/>
          <w:u w:val="single"/>
        </w:rPr>
        <w:t>Burdensome Agreements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or permit to exist, any Contractual Obligation (except for this Agreement and the other Loan Documents) that (a) encumbers or restricts the ability of any such Person to (i) to act as a Loan Party; (ii) make Restricted Payments to any Loan Party, (iii) pay any Indebtedness or other obligation owed to any Loan Party, (iv) make loans or advances to any Loan Party, </w:t>
      </w:r>
      <w:r>
        <w:rPr>
          <w:rFonts w:ascii="Times New Roman;Times;Serif" w:hAnsi="Times New Roman;Times;Serif"/>
          <w:b/>
          <w:i w:val="false"/>
          <w:caps w:val="false"/>
          <w:smallCaps w:val="false"/>
          <w:sz w:val="20"/>
        </w:rPr>
        <w:t>or</w:t>
      </w:r>
      <w:r>
        <w:rPr>
          <w:rFonts w:ascii="Times New Roman;Times;Serif" w:hAnsi="Times New Roman;Times;Serif"/>
          <w:b w:val="false"/>
          <w:i w:val="false"/>
          <w:caps w:val="false"/>
          <w:smallCaps w:val="false"/>
          <w:sz w:val="20"/>
        </w:rPr>
        <w:t xml:space="preserve"> (v)  </w:t>
      </w:r>
      <w:r>
        <w:rPr>
          <w:rFonts w:ascii="Times New Roman;Times;Serif" w:hAnsi="Times New Roman;Times;Serif"/>
          <w:b/>
          <w:i w:val="false"/>
          <w:caps w:val="false"/>
          <w:smallCaps w:val="false"/>
          <w:sz w:val="20"/>
        </w:rPr>
        <w:t xml:space="preserve">create </w:t>
      </w:r>
      <w:r>
        <w:rPr>
          <w:rFonts w:ascii="Times New Roman;Times;Serif" w:hAnsi="Times New Roman;Times;Serif"/>
          <w:b w:val="false"/>
          <w:i w:val="false"/>
          <w:caps w:val="false"/>
          <w:smallCaps w:val="false"/>
          <w:sz w:val="20"/>
        </w:rPr>
        <w:t xml:space="preserve">any Lien upon any of their properties or assets, whether now owned or hereafter acquired, </w:t>
      </w:r>
      <w:r>
        <w:rPr>
          <w:rFonts w:ascii="Times New Roman;Times;Serif" w:hAnsi="Times New Roman;Times;Serif"/>
          <w:b/>
          <w:i w:val="false"/>
          <w:caps w:val="false"/>
          <w:smallCaps w:val="false"/>
          <w:sz w:val="20"/>
        </w:rPr>
        <w:t xml:space="preserve">or </w:t>
      </w: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requires the grant of any Lien on property for any obligation if a Lien on such property is given as security for the Secured Obligations (each, a “Restrictive Agreement”), </w:t>
      </w:r>
      <w:r>
        <w:rPr>
          <w:rFonts w:ascii="Times New Roman;Times;Serif" w:hAnsi="Times New Roman;Times;Serif"/>
          <w:b w:val="false"/>
          <w:i w:val="false"/>
          <w:caps w:val="false"/>
          <w:smallCaps w:val="false"/>
          <w:sz w:val="20"/>
        </w:rPr>
        <w:t xml:space="preserve">except (A) a Restrictive Agreement as in effect on the Closing Date and shown on </w:t>
      </w:r>
      <w:r>
        <w:rPr>
          <w:rFonts w:ascii="Times New Roman;Times;Serif" w:hAnsi="Times New Roman;Times;Serif"/>
          <w:b w:val="false"/>
          <w:i w:val="false"/>
          <w:caps w:val="false"/>
          <w:smallCaps w:val="false"/>
          <w:sz w:val="20"/>
          <w:u w:val="single"/>
        </w:rPr>
        <w:t>Schedule 7.09</w:t>
      </w:r>
      <w:r>
        <w:rPr>
          <w:rFonts w:ascii="Times New Roman;Times;Serif" w:hAnsi="Times New Roman;Times;Serif"/>
          <w:b w:val="false"/>
          <w:i w:val="false"/>
          <w:caps w:val="false"/>
          <w:smallCaps w:val="false"/>
          <w:sz w:val="20"/>
        </w:rPr>
        <w:t>, (B) in the case of clause (a)(v) only, prohibitions on the pledge of assets subject to a Lien permitted by Section 7.01 to the extent such prohibition applies solely to the assets encumbered by such Lien; (C) in the case of clause (a)(v) only, customary provisions in leases and other contracts restricting assignment thereof; (D) any prohibition or restriction in an agreement to the extent required by Applicable Law, (E) any prohibition or restriction in an agreement binding upon a Subsidiary or any of its Subsidiaries at the time such Subsidiary is acquired by a Borrower or a Subsidiary (other than obligations incurred as consideration in or in contemplation of such acquisition), which prohibition or restriction (i) is not applicable to the Borrowers or their other Subsidiaries or the properties or assets of the Borrowers or their other Subsidiaries and (ii) would not prohibit or restrict such Subsidiary from guarantying the Obligations and granting a Lien on its assets, in each case to the extent required by Sections 6.13</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6.14, (F) any prohibition or restriction applicable solely to a Foreign Subsidiary and contained in any agreement governing Indebtedness incurred by such Foreign Subsidiary that is permitted hereunder, and (G) customary provisions of joint venture agreements governing the assets and Equity Interests of the applicable joint venture or any of its Subsidiaries.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80.10     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80.11      </w:t>
      </w:r>
      <w:r>
        <w:rPr>
          <w:rFonts w:ascii="Times New Roman;Times;Serif" w:hAnsi="Times New Roman;Times;Serif"/>
          <w:b/>
          <w:i w:val="false"/>
          <w:caps w:val="false"/>
          <w:smallCaps w:val="false"/>
          <w:sz w:val="20"/>
          <w:u w:val="single"/>
        </w:rPr>
        <w:t>Financial Covenants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Compliance with each of the following covenants shall be measured on a Pro Forma Basis:</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left"/>
              <w:rPr/>
            </w:pPr>
            <w:r>
              <w:rPr>
                <w:u w:val="single"/>
              </w:rPr>
              <w:t>Consolidated EDITDA</w:t>
            </w:r>
            <w:r>
              <w:rPr/>
              <w:t>. Permit Consolidated EBITDA, for and as of the end of any Measurement Period ending as of the last day of any fiscal quarter of Parent, to be less than $35,000,000.</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u w:val="single"/>
              </w:rPr>
              <w:t>Consolidated Net Leverage Ratio</w:t>
            </w:r>
            <w:r>
              <w:rPr/>
              <w:t>. Permit the Consolidated Net Leverage Ratio as of the end of any fiscal quarter of Parent to be greater than the ratio of 2.50 to 1.00.</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80.12      </w:t>
      </w:r>
      <w:r>
        <w:rPr>
          <w:rFonts w:ascii="Times New Roman;Times;Serif" w:hAnsi="Times New Roman;Times;Serif"/>
          <w:b/>
          <w:i w:val="false"/>
          <w:caps w:val="false"/>
          <w:smallCaps w:val="false"/>
          <w:sz w:val="20"/>
          <w:u w:val="single"/>
        </w:rPr>
        <w:t>Maximum Capital Expenditures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Capital Expenditure, except for Consolidated Capital Expenditures not exceeding $25,000,000 in the aggregate during each fiscal year; provided, however, that if the amount of Capital Expenditures permitted to be made in any fiscal year exceeds the amount actually made in such fiscal year, such excess may be carried forward only to the next fiscal year, but not to any succeeding fiscal year.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80.13      </w:t>
      </w:r>
      <w:r>
        <w:rPr>
          <w:rFonts w:ascii="Times New Roman;Times;Serif" w:hAnsi="Times New Roman;Times;Serif"/>
          <w:b/>
          <w:i w:val="false"/>
          <w:caps w:val="false"/>
          <w:smallCaps w:val="false"/>
          <w:sz w:val="20"/>
          <w:u w:val="single"/>
        </w:rPr>
        <w:t>Amendments of Organization Documents; Fiscal Year; Legal Name, State of Formation; Form of Entity and Accounting Changes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left"/>
              <w:rPr/>
            </w:pPr>
            <w:r>
              <w:rPr/>
              <w:t>amend any of its Organization Documents in any way that could reasonably be expected to materially adversely affect the interests of the Lenders or the Administrative Agent;</w:t>
            </w:r>
          </w:p>
        </w:tc>
      </w:tr>
    </w:tbl>
    <w:tbl>
      <w:tblPr>
        <w:tblW w:w="5000" w:type="pct"/>
        <w:jc w:val="left"/>
        <w:tblInd w:w="0" w:type="dxa"/>
        <w:tblLayout w:type="fixed"/>
        <w:tblCellMar>
          <w:top w:w="0" w:type="dxa"/>
          <w:left w:w="0" w:type="dxa"/>
          <w:bottom w:w="0" w:type="dxa"/>
          <w:right w:w="0" w:type="dxa"/>
        </w:tblCellMar>
      </w:tblPr>
      <w:tblGrid>
        <w:gridCol w:w="162"/>
        <w:gridCol w:w="1239"/>
        <w:gridCol w:w="8804"/>
      </w:tblGrid>
      <w:tr>
        <w:trPr/>
        <w:tc>
          <w:tcPr>
            <w:tcW w:w="1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pPr>
            <w:r>
              <w:rPr/>
              <w:t>(b)</w:t>
            </w:r>
          </w:p>
        </w:tc>
        <w:tc>
          <w:tcPr>
            <w:tcW w:w="8804" w:type="dxa"/>
            <w:tcBorders/>
            <w:vAlign w:val="center"/>
          </w:tcPr>
          <w:p>
            <w:pPr>
              <w:pStyle w:val="TableContents"/>
              <w:bidi w:val="0"/>
              <w:spacing w:before="0" w:after="283"/>
              <w:jc w:val="left"/>
              <w:rPr/>
            </w:pPr>
            <w:r>
              <w:rPr/>
              <w:t>change its fiscal year;</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left"/>
              <w:rPr/>
            </w:pPr>
            <w:r>
              <w:rPr/>
              <w:t>with respect to any Loan Party, without providing ten (10) days prior written notice to the Administrative Agent (or such shorter period of time as agreed to by the Administrative Agent), change its name, state of formation, form of organization or principal place of business; or</w:t>
            </w:r>
          </w:p>
        </w:tc>
      </w:tr>
    </w:tbl>
    <w:tbl>
      <w:tblPr>
        <w:tblW w:w="5000" w:type="pct"/>
        <w:jc w:val="left"/>
        <w:tblInd w:w="0" w:type="dxa"/>
        <w:tblLayout w:type="fixed"/>
        <w:tblCellMar>
          <w:top w:w="0" w:type="dxa"/>
          <w:left w:w="0" w:type="dxa"/>
          <w:bottom w:w="0" w:type="dxa"/>
          <w:right w:w="0" w:type="dxa"/>
        </w:tblCellMar>
      </w:tblPr>
      <w:tblGrid>
        <w:gridCol w:w="39"/>
        <w:gridCol w:w="298"/>
        <w:gridCol w:w="9868"/>
      </w:tblGrid>
      <w:tr>
        <w:trPr/>
        <w:tc>
          <w:tcPr>
            <w:tcW w:w="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(d)</w:t>
            </w:r>
          </w:p>
        </w:tc>
        <w:tc>
          <w:tcPr>
            <w:tcW w:w="9868" w:type="dxa"/>
            <w:tcBorders/>
            <w:vAlign w:val="center"/>
          </w:tcPr>
          <w:p>
            <w:pPr>
              <w:pStyle w:val="TableContents"/>
              <w:bidi w:val="0"/>
              <w:spacing w:before="0" w:after="283"/>
              <w:jc w:val="left"/>
              <w:rPr/>
            </w:pPr>
            <w:r>
              <w:rPr/>
              <w:t>make any material change in accounting policies or reporting practices, except as required by GAAP.</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80.14      </w:t>
      </w:r>
      <w:r>
        <w:rPr>
          <w:rFonts w:ascii="Times New Roman;Times;Serif" w:hAnsi="Times New Roman;Times;Serif"/>
          <w:b/>
          <w:i w:val="false"/>
          <w:caps w:val="false"/>
          <w:smallCaps w:val="false"/>
          <w:sz w:val="20"/>
          <w:u w:val="single"/>
        </w:rPr>
        <w:t>Sale and Leaseback Transactions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Sale and Leaseback Transaction, except a Sale and Leaseback Transaction with respect to (a) any asset of a Foreign Subsidiary or (b) property of a Loan Party that is acquired after the Closing Date so long as such Sale and Leaseback Transaction is consummated within 180 days after the acquisition of such property, provided that, in each case, the applicable Borrower or Subsidiary shall receive at least fair market value (as determined by the Parent in good faith) for any property disposed of.</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80.15      </w:t>
      </w:r>
      <w:r>
        <w:rPr>
          <w:rFonts w:ascii="Times New Roman;Times;Serif" w:hAnsi="Times New Roman;Times;Serif"/>
          <w:b/>
          <w:i w:val="false"/>
          <w:caps w:val="false"/>
          <w:smallCaps w:val="false"/>
          <w:sz w:val="20"/>
          <w:u w:val="single"/>
        </w:rPr>
        <w:t>Securitization Transactions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Securitization Transaction.</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80.16     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or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80.17      </w:t>
      </w:r>
      <w:r>
        <w:rPr>
          <w:rFonts w:ascii="Times New Roman;Times;Serif" w:hAnsi="Times New Roman;Times;Serif"/>
          <w:b/>
          <w:i w:val="false"/>
          <w:caps w:val="false"/>
          <w:smallCaps w:val="false"/>
          <w:sz w:val="20"/>
          <w:u w:val="single"/>
        </w:rPr>
        <w:t>Anti-Corruption Laws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or indirectly, use any Credit Extension or the proceeds of any Credit Extension for any purpose which would breach the United States Foreign Corrupt Practices Act of 1977, the UK Bribery Act 2010 and other similar anti-corruption legislation or anti-money laundering legislation in other jurisdictions.</w:t>
      </w:r>
    </w:p>
    <w:p>
      <w:pPr>
        <w:pStyle w:val="TextBody"/>
        <w:bidi w:val="0"/>
        <w:spacing w:before="0" w:after="24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rPr>
        <w:t xml:space="preserve">80.18        </w:t>
      </w:r>
      <w:r>
        <w:rPr>
          <w:rFonts w:ascii="Times New Roman;Times;Serif" w:hAnsi="Times New Roman;Times;Serif"/>
          <w:b/>
          <w:i w:val="false"/>
          <w:caps w:val="false"/>
          <w:smallCaps w:val="false"/>
          <w:color w:val="0000FF"/>
          <w:sz w:val="20"/>
          <w:u w:val="single"/>
        </w:rPr>
        <w:t>Outbound Investment Rules</w:t>
      </w:r>
      <w:r>
        <w:rPr>
          <w:rFonts w:ascii="Times New Roman;Times;Serif" w:hAnsi="Times New Roman;Times;Serif"/>
          <w:b w:val="false"/>
          <w:i w:val="false"/>
          <w:caps w:val="false"/>
          <w:smallCaps w:val="false"/>
          <w:color w:val="0000FF"/>
          <w:sz w:val="20"/>
          <w:u w:val="single"/>
        </w:rPr>
        <w:t xml:space="preserve">. </w:t>
      </w:r>
    </w:p>
    <w:p>
      <w:pPr>
        <w:pStyle w:val="TextBody"/>
        <w:bidi w:val="0"/>
        <w:spacing w:before="0" w:after="240"/>
        <w:ind w:left="0" w:right="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 Borrower or any Subsidiary of any Borrower will,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LXXXI</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 AND REMEDIES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81.01      </w:t>
      </w:r>
      <w:r>
        <w:rPr>
          <w:rFonts w:ascii="Times New Roman;Times;Serif" w:hAnsi="Times New Roman;Times;Serif"/>
          <w:b/>
          <w:i w:val="false"/>
          <w:caps w:val="false"/>
          <w:smallCaps w:val="false"/>
          <w:sz w:val="20"/>
          <w:u w:val="single"/>
        </w:rPr>
        <w:t>Events of Default</w:t>
      </w:r>
      <w:r>
        <w:rPr>
          <w:rFonts w:ascii="Times New Roman;Times;Serif" w:hAnsi="Times New Roman;Times;Serif"/>
          <w:b w:val="false"/>
          <w:i w:val="false"/>
          <w:caps w:val="false"/>
          <w:smallCaps w:val="false"/>
          <w:sz w:val="20"/>
        </w:rPr>
        <w: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shall constitute an event of default (each, an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u w:val="single"/>
              </w:rPr>
              <w:t>Non-Payment</w:t>
            </w:r>
            <w:r>
              <w:rPr/>
              <w:t>. Any Borrower or any other Loan Party fails to pay (i) when and as required to be paid herein and in the currency required hereunder, any amount of principal of any Loan or any L/C Obligation or deposit any funds as Cash Collateral in respect of L/C Obligations, or (ii) within three (3) days after the same becomes due, any interest on any Loan or on any L/C Obligation, or any fee due hereunder, or (iii) within five (5) days after the same becomes due, any other amount payable hereunder or under any other Loan Document; or</w:t>
            </w:r>
          </w:p>
        </w:tc>
      </w:tr>
    </w:tbl>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left"/>
              <w:rPr/>
            </w:pPr>
            <w:r>
              <w:rPr>
                <w:u w:val="single"/>
              </w:rPr>
              <w:t>Specific Covenants</w:t>
            </w:r>
            <w:r>
              <w:rPr/>
              <w:t>. (i) Any Loan Party fails to perform or observe any term, covenant or agreement contained in any of Section 6.03, 6.05(a) (as to any Loan Party), 6.10, 6.11, 6.19 or Article VII or (ii) any Loan Party fails to perform or observe any term, covenant or agreement contained in Section 6.01 or 6.02 and such failure continues for five (5) Business Days; or</w:t>
            </w:r>
          </w:p>
        </w:tc>
      </w:tr>
    </w:tbl>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left"/>
              <w:rPr/>
            </w:pPr>
            <w:r>
              <w:rPr>
                <w:u w:val="single"/>
              </w:rPr>
              <w:t>Other Defaults</w:t>
            </w:r>
            <w:r>
              <w:rPr/>
              <w:t>. Any Loan Party fails to perform or observe any other covenant or agreement (not specified in Section 8.01(a) or (b) above) contained in any Loan Document on its part to be performed or observed and such failure continues for thirty (30) days after the earlier to occur of (i) notice thereof from the Administrative Agent to any Loan Party or (ii) a Responsible Officer of any Loan Party becomes aware of such failure; or</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left"/>
              <w:rPr/>
            </w:pPr>
            <w:r>
              <w:rPr>
                <w:u w:val="single"/>
              </w:rPr>
              <w:t>Representations and Warranties</w:t>
            </w:r>
            <w:r>
              <w:rPr/>
              <w:t>. Any representation, warranty, certification or statement of fact made or deemed made by or on behalf of the Borrowers or any other Loan Party herein, in any other Loan Document, or in any document delivered in connection herewith or therewith shall be (i) incorrect or misleading when made or deemed made (with respect to any representation, warranty, certification or statement of fact that contains a materiality qualification) or (ii) incorrect or misleading in any material respect when made or deemed made (with respect to any representation, warranty, certification or statement of fact that does not contain a materiality qualification); or</w:t>
            </w:r>
          </w:p>
        </w:tc>
      </w:tr>
    </w:tbl>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left"/>
              <w:rPr/>
            </w:pPr>
            <w:r>
              <w:rPr>
                <w:u w:val="single"/>
              </w:rPr>
              <w:t>Cross-Default</w:t>
            </w:r>
            <w:r>
              <w:rPr/>
              <w:t>. (i) Any Loan Party or any Significant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 (iii) there occurs any default or event of default under any Foreign Obligation Loan Document the result of which is to cause, or to permit the holder or holders of Indebtedness under such Foreign Obligation Loan Document to cause, with the giving of notice if required, such Indebtedness to be demanded or to become due prior to its stated maturity; or</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(f)</w:t>
            </w:r>
          </w:p>
        </w:tc>
        <w:tc>
          <w:tcPr>
            <w:tcW w:w="9991" w:type="dxa"/>
            <w:tcBorders/>
            <w:vAlign w:val="center"/>
          </w:tcPr>
          <w:p>
            <w:pPr>
              <w:pStyle w:val="TableContents"/>
              <w:bidi w:val="0"/>
              <w:spacing w:before="0" w:after="283"/>
              <w:jc w:val="left"/>
              <w:rPr/>
            </w:pPr>
            <w:r>
              <w:rPr>
                <w:u w:val="single"/>
              </w:rPr>
              <w:t>Insolvency Proceedings, Etc</w:t>
            </w:r>
            <w:r>
              <w:rPr/>
              <w:t>. Any Loan Party or any Significant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(g)</w:t>
            </w:r>
          </w:p>
        </w:tc>
        <w:tc>
          <w:tcPr>
            <w:tcW w:w="9937" w:type="dxa"/>
            <w:tcBorders/>
            <w:vAlign w:val="center"/>
          </w:tcPr>
          <w:p>
            <w:pPr>
              <w:pStyle w:val="TableContents"/>
              <w:bidi w:val="0"/>
              <w:spacing w:before="0" w:after="283"/>
              <w:jc w:val="left"/>
              <w:rPr/>
            </w:pPr>
            <w:r>
              <w:rPr>
                <w:u w:val="single"/>
              </w:rPr>
              <w:t>Inability to Pay Debts; Attachment</w:t>
            </w:r>
            <w:r>
              <w:rPr/>
              <w:t>. (i) Any Loan Party or any Significant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(h)</w:t>
            </w:r>
          </w:p>
        </w:tc>
        <w:tc>
          <w:tcPr>
            <w:tcW w:w="9946" w:type="dxa"/>
            <w:tcBorders/>
            <w:vAlign w:val="center"/>
          </w:tcPr>
          <w:p>
            <w:pPr>
              <w:pStyle w:val="TableContents"/>
              <w:bidi w:val="0"/>
              <w:spacing w:before="0" w:after="283"/>
              <w:jc w:val="left"/>
              <w:rPr/>
            </w:pPr>
            <w:r>
              <w:rPr>
                <w:u w:val="single"/>
              </w:rPr>
              <w:t>Judgments</w:t>
            </w:r>
            <w:r>
              <w:rPr/>
              <w:t>. There is entered against any Loan Party or any Significant Subsidiary (i) one or more final judgments or orders for the payment of money in an aggregate amount (as to all such judgments and orders) exceeding the Threshold Amount (to the extent not covered by independent third-party insurance provided by a financially sound and reputable insurer which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fifteen (15) consecutive days during which a stay of enforcement of such judgment, by reason of a pending appeal or otherwise, is not in effect; or</w:t>
            </w:r>
          </w:p>
        </w:tc>
      </w:tr>
    </w:tbl>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left"/>
              <w:rPr/>
            </w:pPr>
            <w:r>
              <w:rPr>
                <w:u w:val="single"/>
              </w:rPr>
              <w:t>ERISA</w:t>
            </w:r>
            <w:r>
              <w:rPr/>
              <w:t>. (i) An ERISA Event occurs with respect to a Pension Plan or Multiemployer Plan which has resulted or could reasonably be expected to result in liability of any Loan Party to the Pension Plan, Multiemployer Plan or the PBGC in an aggregate amount in excess of the Threshold Amount, or (ii) any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tc>
      </w:tr>
    </w:tbl>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(j)</w:t>
            </w:r>
          </w:p>
        </w:tc>
        <w:tc>
          <w:tcPr>
            <w:tcW w:w="10003" w:type="dxa"/>
            <w:tcBorders/>
            <w:vAlign w:val="center"/>
          </w:tcPr>
          <w:p>
            <w:pPr>
              <w:pStyle w:val="TableContents"/>
              <w:bidi w:val="0"/>
              <w:spacing w:before="0" w:after="283"/>
              <w:jc w:val="left"/>
              <w:rPr/>
            </w:pPr>
            <w:r>
              <w:rPr>
                <w:u w:val="single"/>
              </w:rPr>
              <w:t>Invalidity of Loan Documents</w:t>
            </w:r>
            <w:r>
              <w:rPr/>
              <w:t>. Any material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or any Affiliate thereof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(k)</w:t>
            </w:r>
          </w:p>
        </w:tc>
        <w:tc>
          <w:tcPr>
            <w:tcW w:w="9935" w:type="dxa"/>
            <w:tcBorders/>
            <w:vAlign w:val="center"/>
          </w:tcPr>
          <w:p>
            <w:pPr>
              <w:pStyle w:val="TableContents"/>
              <w:bidi w:val="0"/>
              <w:spacing w:before="0" w:after="283"/>
              <w:jc w:val="left"/>
              <w:rPr/>
            </w:pPr>
            <w:r>
              <w:rPr>
                <w:u w:val="single"/>
              </w:rPr>
              <w:t>Collateral Documents</w:t>
            </w:r>
            <w:r>
              <w:rPr/>
              <w:t>. Any Collateral Document after delivery thereof pursuant to the terms of the Loan Documents shall for any reason (other than pursuant to the terms thereof) cease to create a valid and perfected first priority Lien (subject to Permitted Liens) on any material portion of the Collateral purported to be covered thereby, or any Loan Party shall assert the invalidity of such Liens; or</w:t>
            </w:r>
          </w:p>
        </w:tc>
      </w:tr>
    </w:tbl>
    <w:tbl>
      <w:tblPr>
        <w:tblW w:w="5000" w:type="pct"/>
        <w:jc w:val="left"/>
        <w:tblInd w:w="0" w:type="dxa"/>
        <w:tblLayout w:type="fixed"/>
        <w:tblCellMar>
          <w:top w:w="0" w:type="dxa"/>
          <w:left w:w="0" w:type="dxa"/>
          <w:bottom w:w="0" w:type="dxa"/>
          <w:right w:w="0" w:type="dxa"/>
        </w:tblCellMar>
      </w:tblPr>
      <w:tblGrid>
        <w:gridCol w:w="64"/>
        <w:gridCol w:w="393"/>
        <w:gridCol w:w="9748"/>
      </w:tblGrid>
      <w:tr>
        <w:trPr/>
        <w:tc>
          <w:tcPr>
            <w:tcW w:w="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(l)</w:t>
            </w:r>
          </w:p>
        </w:tc>
        <w:tc>
          <w:tcPr>
            <w:tcW w:w="9748" w:type="dxa"/>
            <w:tcBorders/>
            <w:vAlign w:val="center"/>
          </w:tcPr>
          <w:p>
            <w:pPr>
              <w:pStyle w:val="TableContents"/>
              <w:bidi w:val="0"/>
              <w:spacing w:before="0" w:after="283"/>
              <w:jc w:val="left"/>
              <w:rPr/>
            </w:pPr>
            <w:r>
              <w:rPr>
                <w:u w:val="single"/>
              </w:rPr>
              <w:t>Change of Control</w:t>
            </w:r>
            <w:r>
              <w:rPr/>
              <w:t>. There occurs any Change of Control; or</w:t>
            </w:r>
          </w:p>
        </w:tc>
      </w:tr>
    </w:tbl>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(m)</w:t>
            </w:r>
          </w:p>
        </w:tc>
        <w:tc>
          <w:tcPr>
            <w:tcW w:w="9869" w:type="dxa"/>
            <w:tcBorders/>
            <w:vAlign w:val="center"/>
          </w:tcPr>
          <w:p>
            <w:pPr>
              <w:pStyle w:val="TableContents"/>
              <w:bidi w:val="0"/>
              <w:spacing w:before="0" w:after="283"/>
              <w:jc w:val="left"/>
              <w:rPr/>
            </w:pPr>
            <w:r>
              <w:rPr>
                <w:u w:val="single"/>
              </w:rPr>
              <w:t>Foreign entities established in the Netherlands</w:t>
            </w:r>
            <w:r>
              <w:rPr/>
              <w:t>. Any Foreign Guarantor established in the Netherlands or any other Subsidiary established in the Netherlands files a notice under Section 36 of the Dutch Tax Collection Act (</w:t>
            </w:r>
            <w:r>
              <w:rPr>
                <w:i/>
              </w:rPr>
              <w:t>Invorderingswet 1990</w:t>
            </w:r>
            <w:r>
              <w:rPr/>
              <w:t>) or Section 60 of the Social Insurance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 of the Netherlands (</w:t>
      </w:r>
      <w:r>
        <w:rPr>
          <w:rFonts w:ascii="Times New Roman;Times;Serif" w:hAnsi="Times New Roman;Times;Serif"/>
          <w:b w:val="false"/>
          <w:i/>
          <w:caps w:val="false"/>
          <w:smallCaps w:val="false"/>
          <w:sz w:val="20"/>
        </w:rPr>
        <w:t>Wet Financiering Sociale Verzekeringen</w:t>
      </w:r>
      <w:r>
        <w:rPr>
          <w:rFonts w:ascii="Times New Roman;Times;Serif" w:hAnsi="Times New Roman;Times;Serif"/>
          <w:b w:val="false"/>
          <w:i w:val="false"/>
          <w:caps w:val="false"/>
          <w:smallCaps w:val="false"/>
          <w:sz w:val="20"/>
        </w:rPr>
        <w:t>) in conjunction with Section 36 of the Tax Collection Act (</w:t>
      </w:r>
      <w:r>
        <w:rPr>
          <w:rFonts w:ascii="Times New Roman;Times;Serif" w:hAnsi="Times New Roman;Times;Serif"/>
          <w:b w:val="false"/>
          <w:i/>
          <w:caps w:val="false"/>
          <w:smallCaps w:val="false"/>
          <w:sz w:val="20"/>
        </w:rPr>
        <w:t>Invorderingswet 1990</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provisions of Article IX, if a Default or Event of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Section 11.01).</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81.02      </w:t>
      </w:r>
      <w:r>
        <w:rPr>
          <w:rFonts w:ascii="Times New Roman;Times;Serif" w:hAnsi="Times New Roman;Times;Serif"/>
          <w:b/>
          <w:i w:val="false"/>
          <w:caps w:val="false"/>
          <w:smallCaps w:val="false"/>
          <w:sz w:val="20"/>
          <w:u w:val="single"/>
        </w:rPr>
        <w:t>Remedies upon Event of Default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occurs and is continuing, the Administrative Agent shall, at the request of, or may, with the consent of, the Required Lenders, take any or all of the following actions:</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left"/>
              <w:rPr/>
            </w:pPr>
            <w:r>
              <w:rPr/>
              <w:t>declare the Revolving Commitment of each Lender to make Loans and any obligation of the L/C Issuer to make L/C Credit Extensions to be terminated, whereupon such commitments and obligation shall be terminated;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left"/>
              <w:rPr/>
            </w:pPr>
            <w:r>
              <w:rPr/>
              <w:t>require that the applicable Borrowers Cash Collateralize the L/C Obligations (in an amount equal to the Minimum Collateral Amount with respect thereto); and</w:t>
            </w:r>
          </w:p>
        </w:tc>
      </w:tr>
    </w:tbl>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(d)</w:t>
            </w:r>
          </w:p>
        </w:tc>
        <w:tc>
          <w:tcPr>
            <w:tcW w:w="9913" w:type="dxa"/>
            <w:tcBorders/>
            <w:vAlign w:val="center"/>
          </w:tcPr>
          <w:p>
            <w:pPr>
              <w:pStyle w:val="TableContents"/>
              <w:bidi w:val="0"/>
              <w:spacing w:before="0" w:after="283"/>
              <w:jc w:val="left"/>
              <w:rPr/>
            </w:pPr>
            <w:r>
              <w:rPr/>
              <w:t>exercise on behalf of itself, the Lenders and the L/C Issuer all rights and remedies available to it, the Lenders and the L/C Issuer under the Loan Documents or applicable Law or equity;</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upon the occurrence of an event described in Section 8.01(f) with respect to any Borrower,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81.03      </w:t>
      </w:r>
      <w:r>
        <w:rPr>
          <w:rFonts w:ascii="Times New Roman;Times;Serif" w:hAnsi="Times New Roman;Times;Serif"/>
          <w:b/>
          <w:i w:val="false"/>
          <w:caps w:val="false"/>
          <w:smallCaps w:val="false"/>
          <w:sz w:val="20"/>
          <w:u w:val="single"/>
        </w:rPr>
        <w:t>Application of Funds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exercise of remedies provided for in Section 8.02 (or after the Loans have automatically become immediately due and payable and the L/C Obligations have automatically been required to be Cash Collateralized as set forth in the proviso to Section 8.02) or if at any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insufficient funds are received by and available to the Administrative Agent to pay fully all Secured Obligations and Parallel Obligations then due hereunder, any amounts received on account of the Secured Obligations and Parallel Obligations shall, subject to the provisions of Sections 2.14 and 2.15, be applied by the Administrative Agent in the following order:</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payment of that portion of the Secured Obligations constituting fees, indemnities, expenses and other amounts (including fees, charges and disbursements of counsel to the Administrative Agent and amounts payable under Article III) payable to the Administrative Agent in its capacity as such;</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payment of that portion of the Secured Obligations constituting fees, indemnities and other amounts (other than principal, interest and Letter of Credit Fees) payable to the Lenders, the Foreign Obligation Providers and the L/C Issuer (including fees, charges and disbursements of counsel to the respective Lenders, the Foreign Obligation Providers and the L/C Issuer arising under the Loan Documents and the Foreign Obligation Loan Documents and amounts payable under Article III, ratably among them in proportion to the respective amounts described in this clause Second payable to them;</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payment of that portion of the Secured Obligations constituting accrued and unpaid Letter of Credit Fees and interest on the Loans, L/C Borrowings and other Secured Obligations arising under the Loan Documents and the Foreign Obligation Loan Documents, ratably among the Lenders, the Foreign Obligation Providers and the L/C Issuer in proportion to the respective amounts described in this clause Third payable to them;</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payment of that portion of the Secured Obligations constituting unpaid principal of the Loans, L/C Borrowings and Secured Obligations then owing under the Foreign Obligation Loan Documents, the Secured Hedge Agreements and Secured Cash Management Agreements and to the Administrative Agent for the account of the L/C Issuer, to Cash Collateralize that portion of L/C Obligations comprised of the aggregate undrawn amount of Letters of Credit to the extent not otherwise Cash Collateralized by the Borrowers pursuant to Sections 2.03 and 2.14, and to the Foreign Obligation Providers, to cash collateralize undrawn contingent liability obligations owing to such Foreign Obligation Provider under the Foreign Obligation Loan Documents to the extent not otherwise cash collateralized by the applicable Foreign Subsidiary in each case ratably among the Administrative Agent, the Lenders, the Foreign Obligation Providers, the L/C Issuer, the Hedge Banks and the Cash Management Banks in proportion to the respective amounts described in this clause Fourth held by them; and</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Last</w:t>
      </w:r>
      <w:r>
        <w:rPr>
          <w:rFonts w:ascii="Times New Roman;Times;Serif" w:hAnsi="Times New Roman;Times;Serif"/>
          <w:b w:val="false"/>
          <w:i w:val="false"/>
          <w:caps w:val="false"/>
          <w:smallCaps w:val="false"/>
          <w:sz w:val="20"/>
        </w:rPr>
        <w:t>, the balance, if any, after all of the Secured Obligations have been indefeasibly paid in full, to the Borrowers or as otherwise required by Law;</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payments received from or in respect of any Foreign Loan Party or any of its assets shall not be applied to any Secured Obligations of any Domestic Loan Party or any Domestic Subsidiary.</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Sections 2.03(c) and 2.14, amounts used to Cash Collateralize the aggregate undrawn amount of Letters of Credit pursuant to clause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(and subject to the limitations) set forth above. Excluded Swap Obligations with respect to any Loan Party shall not be paid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amounts received from such Loan Party or its assets, but appropriate adjustments shall be made with respect to payments from other Loan Parties to preserve the allocation to Secured Obligations otherwise set forth above in this Section.</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and the Parent. Each Cash Management Bank or Hedge Bank not a party to this Agreement that has given the notice contemplated by the preceding sentence shall, by such notice, be deemed to have acknowledged and accepted the appointment of the Administrative Agent pursuant to the terms of Article IX for itself and its Affiliates as if a “Lender” party hereto.</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LXXXII</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82.01      </w:t>
      </w:r>
      <w:r>
        <w:rPr>
          <w:rFonts w:ascii="Times New Roman;Times;Serif" w:hAnsi="Times New Roman;Times;Serif"/>
          <w:b/>
          <w:i w:val="false"/>
          <w:caps w:val="false"/>
          <w:smallCaps w:val="false"/>
          <w:sz w:val="20"/>
          <w:u w:val="single"/>
        </w:rPr>
        <w:t>Appointment and Authority</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u w:val="single"/>
              </w:rPr>
              <w:t>Appointment</w:t>
            </w:r>
            <w:r>
              <w:rPr/>
              <w:t>.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Borrowers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 required under the laws of any jurisdiction other than the United States of America, each of the Lenders and Secured Parties hereby grants to the Administrative Agent any required powers of attorney to execute any Collateral Document or other Loan Document governed by the laws of such jurisdiction on such Lender’s or Secured Party’s behalf.</w:t>
            </w:r>
          </w:p>
        </w:tc>
      </w:tr>
    </w:tbl>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left"/>
              <w:rPr/>
            </w:pPr>
            <w:r>
              <w:rPr>
                <w:u w:val="single"/>
              </w:rPr>
              <w:t>Collateral Agent</w:t>
            </w:r>
            <w:r>
              <w:rPr/>
              <w:t>. The Administrative Agent shall also act as the “collateral agent” under the Loan Documents, and each of the Lenders (including in its capacities as a potential Hedge Bank, a potential Foreign Obligation Provider and a potential Cash Management Bank) and the L/C</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and Parallel Obligations, together with such powers and discretion as are reasonably incidental thereto. In this connection, the Administrative Agent, as “collateral agent” and any co-agents, sub-agents and attorneys-in-fact appointed by the Administrative Agent pursuant to Section 9.05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and Article XI (including Section 11.04(c), as though such co-agents, sub-agents and attorneys-in-fact were the “collateral agent” under the Loan Documents) as if set forth in full herein with respect thereto.</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82.02      </w:t>
      </w:r>
      <w:r>
        <w:rPr>
          <w:rFonts w:ascii="Times New Roman;Times;Serif" w:hAnsi="Times New Roman;Times;Serif"/>
          <w:b/>
          <w:i w:val="false"/>
          <w:caps w:val="false"/>
          <w:smallCaps w:val="false"/>
          <w:sz w:val="20"/>
          <w:u w:val="single"/>
        </w:rPr>
        <w:t>Rights as a Lender</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82.03      </w:t>
      </w:r>
      <w:r>
        <w:rPr>
          <w:rFonts w:ascii="Times New Roman;Times;Serif" w:hAnsi="Times New Roman;Times;Serif"/>
          <w:b/>
          <w:i w:val="false"/>
          <w:caps w:val="false"/>
          <w:smallCaps w:val="false"/>
          <w:sz w:val="20"/>
          <w:u w:val="single"/>
        </w:rPr>
        <w:t>Exculpatory Provisions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their Related Parties:</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left"/>
              <w:rPr/>
            </w:pPr>
            <w:r>
              <w:rPr/>
              <w:t>shall not be subject to any fiduciary or other implied duties, regardless of whether a Default has occurred and is continuing;</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u w:val="single"/>
              </w:rPr>
              <w:t>provided</w:t>
            </w:r>
            <w:r>
              <w:rPr/>
              <w:t xml:space="preserve"> that the Administrative Agent shall not be required to take any</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left"/>
              <w:rPr/>
            </w:pPr>
            <w:r>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11.01 and 8.02)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Borrowers, a Lender or the L/C Issuer.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Article IV or elsewhere herein, other than to confirm receipt of items expressly required to be delivered to the Administrative Agent.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82.04      </w:t>
      </w:r>
      <w:r>
        <w:rPr>
          <w:rFonts w:ascii="Times New Roman;Times;Serif" w:hAnsi="Times New Roman;Times;Serif"/>
          <w:b/>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82.05      </w:t>
      </w:r>
      <w:r>
        <w:rPr>
          <w:rFonts w:ascii="Times New Roman;Times;Serif" w:hAnsi="Times New Roman;Times;Serif"/>
          <w:b/>
          <w:i w:val="false"/>
          <w:caps w:val="false"/>
          <w:smallCaps w:val="false"/>
          <w:sz w:val="20"/>
          <w:u w:val="single"/>
        </w:rPr>
        <w:t>Delegation of Duties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Revolving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82.06      </w:t>
      </w:r>
      <w:r>
        <w:rPr>
          <w:rFonts w:ascii="Times New Roman;Times;Serif" w:hAnsi="Times New Roman;Times;Serif"/>
          <w:b/>
          <w:i w:val="false"/>
          <w:caps w:val="false"/>
          <w:smallCaps w:val="false"/>
          <w:sz w:val="20"/>
          <w:u w:val="single"/>
        </w:rPr>
        <w:t>Resignation of Administrative Agent</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u w:val="single"/>
              </w:rPr>
              <w:t>Notice</w:t>
            </w:r>
            <w:r>
              <w:rPr/>
              <w:t>. The Administrative Agent may at any time give notice of its resignation to the Lenders, the L/C Issuer and the Borrowers. Upon receipt of any such notice of resignation, the Required Lenders shall have the right, in consultation with the Borrowers,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u w:val="single"/>
              </w:rPr>
              <w:t>Resignation Effective Date</w:t>
            </w:r>
            <w:r>
              <w:rPr/>
              <w:t>”), then the retiring Administrative Agent may (but shall not be obligated to) on behalf</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the Lenders and the L/C Issuer, appoint a successor Administrative Agent meeting the qualifications set forth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successor Administrative Agent be a Defaulting Lender. Whether or not a successor has been appointed, such resignation shall become effective in accordance with such notice on the Resignation Effective Date.</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left"/>
              <w:rPr/>
            </w:pPr>
            <w:r>
              <w:rPr>
                <w:u w:val="single"/>
              </w:rPr>
              <w:t>Defaulting Lender</w:t>
            </w:r>
            <w:r>
              <w:rPr/>
              <w:t>. If the Person serving as Administrative Agent is a Defaulting Lender pursuant to clause (d) of the definition thereof, the Required Lenders may, to the extent permitted by applicable Law, by notice in writing to the Borrowers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u w:val="single"/>
              </w:rPr>
              <w:t>Removal Effective Date</w:t>
            </w:r>
            <w:r>
              <w:rPr/>
              <w:t>”), then such removal shall nonetheless become effective in accordance with such notice on the Removal Effective Date.</w:t>
            </w:r>
          </w:p>
        </w:tc>
      </w:tr>
    </w:tbl>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left"/>
              <w:rPr/>
            </w:pPr>
            <w:r>
              <w:rPr>
                <w:u w:val="single"/>
              </w:rPr>
              <w:t>Effect of Resignation or Removal</w:t>
            </w:r>
            <w:r>
              <w:rPr/>
              <w:t>.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3.01(g)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applicable Borrowers to a successor Administrative Agent shall be the same as those payable to its predecessor unless otherwise agreed between the applicable Borrowers and such successor. After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retiring or removed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(ii) after such resignation or removal for as long as any of them continues to act in any capacity hereunder or under the other Loan Documents, including, without limitation, (A) acting as collateral agent or otherwise holding any collateral security on behalf of any of the Secured Parties and (B) in respect of any actions taken in connection with transferring the agency to any successor Administrative Agent.</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left"/>
              <w:rPr/>
            </w:pPr>
            <w:r>
              <w:rPr>
                <w:u w:val="single"/>
              </w:rPr>
              <w:t>L/C Issuer and Swingline Lender</w:t>
            </w:r>
            <w:r>
              <w:rPr/>
              <w:t>. Any resignation or removal by Bank of America as Administrative Agent pursuant to this Section shall also constitute its resignation as L/C Issuer and Swingline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Section 2.03(c).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by the Borrowers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82.07      </w:t>
      </w:r>
      <w:r>
        <w:rPr>
          <w:rFonts w:ascii="Times New Roman;Times;Serif" w:hAnsi="Times New Roman;Times;Serif"/>
          <w:b/>
          <w:i w:val="false"/>
          <w:caps w:val="false"/>
          <w:smallCaps w:val="false"/>
          <w:sz w:val="20"/>
          <w:u w:val="single"/>
        </w:rPr>
        <w:t>Non-Reliance on Administrative Agent and Other Lenders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each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to constitute any representation or warranty by the Administrative Agent or the Arranger to any Lender or each L/C Issuer as to any matter, including whether the Administrative Agent or the Arranger have disclosed material information in their (or their Related Parties’) possession. Each Lender and each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82.08      </w:t>
      </w:r>
      <w:r>
        <w:rPr>
          <w:rFonts w:ascii="Times New Roman;Times;Serif" w:hAnsi="Times New Roman;Times;Serif"/>
          <w:b/>
          <w:i w:val="false"/>
          <w:caps w:val="false"/>
          <w:smallCaps w:val="false"/>
          <w:sz w:val="20"/>
          <w:u w:val="single"/>
        </w:rPr>
        <w:t>No Other Duties, Etc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the L/C Issuer hereunder.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82.09      </w:t>
      </w:r>
      <w:r>
        <w:rPr>
          <w:rFonts w:ascii="Times New Roman;Times;Serif" w:hAnsi="Times New Roman;Times;Serif"/>
          <w:b/>
          <w:i w:val="false"/>
          <w:caps w:val="false"/>
          <w:smallCaps w:val="false"/>
          <w:sz w:val="20"/>
          <w:u w:val="single"/>
        </w:rPr>
        <w:t>Administrative Agent May File Proofs of Claim; Credit Bidding</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left"/>
              <w:rPr/>
            </w:pPr>
            <w:r>
              <w:rPr/>
              <w:t>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Sections 2.03(h) and (i), 2.09, 2.10(b) and 11.04) allowed in such judicial proceeding; and</w:t>
            </w:r>
          </w:p>
        </w:tc>
      </w:tr>
    </w:tbl>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left"/>
              <w:rPr/>
            </w:pPr>
            <w:r>
              <w:rPr/>
              <w:t>to collect and receive any monies or other property payable or deliverable on any such claims and to distribute the same;</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2.09, 2.10(b) and 11.04.</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Section 11.01 of this Agreement, (iii) the Administrative Agent shall be authorized to assign the relevant Secured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Secured Obligations to be credit bid, all without the need for any Secured Party or acquisition vehicle to take any further action, and (iv)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pro rata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82.10      </w:t>
      </w:r>
      <w:r>
        <w:rPr>
          <w:rFonts w:ascii="Times New Roman;Times;Serif" w:hAnsi="Times New Roman;Times;Serif"/>
          <w:b/>
          <w:i w:val="false"/>
          <w:caps w:val="false"/>
          <w:smallCaps w:val="false"/>
          <w:sz w:val="20"/>
          <w:u w:val="single"/>
        </w:rPr>
        <w:t>Collateral and Guaranty Matters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(including in its capacities as a potential Cash Management Bank, potential Foreign Obligation Provider and a potential Hedge Bank) and the L/C Issuer irrevocably authorize the Administrative Agent to:</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left"/>
              <w:rPr/>
            </w:pPr>
            <w:r>
              <w:rPr/>
              <w:t>release any Lien on any property granted to or held by the Administrative Agent under any Loan Document (i) upon the occurrence of the Facility Termination Date, (ii) that is sold or otherwise disposed of or to be sold or otherwise disposed of as part of or in connection with any sale or other disposition permitted hereunder or under any other Loan Document, (iii) that is owned by a Guarantor that is released from its Guaranty pursuant to Section 9.10(c) or (iv) if approved, authorized or ratified in writing by the Required Lenders in accordance with Section 11.01; and in connection with any transaction expressly contemplated under this Section 9.10(a) the Administrative Agent agrees that it shall provide such a release;</w:t>
            </w:r>
          </w:p>
        </w:tc>
      </w:tr>
    </w:tbl>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left"/>
              <w:rPr/>
            </w:pPr>
            <w:r>
              <w:rPr/>
              <w:t>subordinate any Lien on any property granted to or held by the Administrative Agent under any Loan Document to the holder of any Lien on such property that is permitted by Section 7.01(i); and</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left"/>
              <w:rPr/>
            </w:pPr>
            <w:r>
              <w:rPr/>
              <w:t>release any Guarantor from its obligations under the Guaranty if such Person ceases to be a Subsidiary as a result of a transaction permitted under the Loan Documents; and in connection with such a transaction the Administrative Agent agrees that it shall provide such a release.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Section 9.10. In each case as specified in this Section 9.10, the Administrative Agent will, at the applicable Borrowers’ expense, execute and deliver to the applicable Loan Party such documents and take such other actions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Section 9.10.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82.11      </w:t>
      </w:r>
      <w:r>
        <w:rPr>
          <w:rFonts w:ascii="Times New Roman;Times;Serif" w:hAnsi="Times New Roman;Times;Serif"/>
          <w:b/>
          <w:i w:val="false"/>
          <w:caps w:val="false"/>
          <w:smallCaps w:val="false"/>
          <w:sz w:val="20"/>
          <w:u w:val="single"/>
        </w:rPr>
        <w:t>Secured Cash Management Agreements and Secured Hedge Agreements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set forth herein, no Cash Management Bank, Foreign Obligation Provider or Hedge Bank that obtains the benefit of the provisions of Section 8.03,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with respect to such Secured Obligations, together with such supporting documentation as the Administrative Agent may request, from the applicable Cash Management Bank, Foreign Obligation Provider or Hedge Bank, as the case may be, and the Parent. The Administrative Agent shall not be required to verify the payment of, or that other satisfactory arrangements have been made with respect to, Secured Obligations arising under Secured Cash Management Agreements and Secured Hedge Agreements in the case of the Facility Termination Date.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82.12      </w:t>
      </w:r>
      <w:r>
        <w:rPr>
          <w:rFonts w:ascii="Times New Roman;Times;Serif" w:hAnsi="Times New Roman;Times;Serif"/>
          <w:b/>
          <w:i w:val="false"/>
          <w:caps w:val="false"/>
          <w:smallCaps w:val="false"/>
          <w:sz w:val="20"/>
          <w:u w:val="single"/>
        </w:rPr>
        <w:t>ERISA Lender Representation</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left"/>
              <w:rPr/>
            </w:pPr>
            <w:r>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doubt, to or for the benefit of the Borrowers or any other Loan Party, that at least one of the following is and will be true: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LXXXIII </w:t>
      </w:r>
      <w:r>
        <w:rPr>
          <w:rFonts w:ascii="Times New Roman;Times;Serif" w:hAnsi="Times New Roman;Times;Serif"/>
          <w:b w:val="false"/>
          <w:i w:val="false"/>
          <w:caps w:val="false"/>
          <w:smallCaps w:val="false"/>
          <w:sz w:val="20"/>
        </w:rPr>
        <w:t xml:space="preserve">such Lender is not using “plan assets” (within the meaning of </w:t>
      </w:r>
      <w:r>
        <w:rPr>
          <w:rFonts w:ascii="Times New Roman;Times;Serif" w:hAnsi="Times New Roman;Times;Serif"/>
          <w:b w:val="false"/>
          <w:i w:val="false"/>
          <w:caps w:val="false"/>
          <w:smallCaps w:val="false"/>
          <w:strike/>
          <w:color w:val="FF0000"/>
          <w:sz w:val="20"/>
        </w:rPr>
        <w:t xml:space="preserve">29 CFR § 2510.3-101, as modified by </w:t>
      </w:r>
      <w:r>
        <w:rPr>
          <w:rFonts w:ascii="Times New Roman;Times;Serif" w:hAnsi="Times New Roman;Times;Serif"/>
          <w:b w:val="false"/>
          <w:i w:val="false"/>
          <w:caps w:val="false"/>
          <w:smallCaps w:val="false"/>
          <w:sz w:val="20"/>
        </w:rPr>
        <w:t>Section 3(42) of ERISA</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otherwise)</w:t>
      </w:r>
      <w:r>
        <w:rPr>
          <w:rFonts w:ascii="Times New Roman;Times;Serif" w:hAnsi="Times New Roman;Times;Serif"/>
          <w:b w:val="false"/>
          <w:i w:val="false"/>
          <w:caps w:val="false"/>
          <w:smallCaps w:val="false"/>
          <w:sz w:val="20"/>
        </w:rPr>
        <w:t xml:space="preserve"> of one or more Benefit Plans with respect to such Lender’s entrance into, participation in, administration of and performance of the Revolving Loans, the Letters of Credit, the Revolving Commitments or this Agreement,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LXXXIV </w:t>
      </w:r>
      <w:r>
        <w:rPr>
          <w:rFonts w:ascii="Times New Roman;Times;Serif" w:hAnsi="Times New Roman;Times;Serif"/>
          <w:b w:val="false"/>
          <w:i w:val="false"/>
          <w:caps w:val="false"/>
          <w:smallCaps w:val="false"/>
          <w:sz w:val="20"/>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Revolving Loans, the Letters of Credit, the Revolving Commitments and this Agreement,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LXXXV </w:t>
      </w:r>
      <w:r>
        <w:rPr>
          <w:rFonts w:ascii="Times New Roman;Times;Serif" w:hAnsi="Times New Roman;Times;Serif"/>
          <w:b w:val="false"/>
          <w:i w:val="false"/>
          <w:caps w:val="false"/>
          <w:smallCaps w:val="false"/>
          <w:sz w:val="20"/>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Revolving Loans, the Letters of Credit, the Revolving Commitments and this Agreement, (C) the entrance into, participation in, administration of and performance of the Revolving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Revolving Loans, the Letters of Credit, the Revolving Commitments and this Agreement, or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LXXXVI </w:t>
      </w:r>
      <w:r>
        <w:rPr>
          <w:rFonts w:ascii="Times New Roman;Times;Serif" w:hAnsi="Times New Roman;Times;Serif"/>
          <w:b w:val="false"/>
          <w:i w:val="false"/>
          <w:caps w:val="false"/>
          <w:smallCaps w:val="false"/>
          <w:sz w:val="20"/>
        </w:rPr>
        <w:t>such other representation, warranty and covenant as may be agreed in writing between the Administrative Agent, in its sole discretion, and such Lender.</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trike/>
                <w:color w:val="FF0000"/>
              </w:rPr>
            </w:pPr>
            <w:r>
              <w:rPr>
                <w:strike/>
                <w:color w:val="FF0000"/>
              </w:rPr>
              <w:t>(a)</w:t>
            </w:r>
          </w:p>
        </w:tc>
        <w:tc>
          <w:tcPr>
            <w:tcW w:w="9959" w:type="dxa"/>
            <w:tcBorders/>
            <w:vAlign w:val="center"/>
          </w:tcPr>
          <w:p>
            <w:pPr>
              <w:pStyle w:val="TableContents"/>
              <w:bidi w:val="0"/>
              <w:spacing w:before="0" w:after="283"/>
              <w:jc w:val="left"/>
              <w:rPr/>
            </w:pPr>
            <w:r>
              <w:rPr/>
              <w:t xml:space="preserve">In addition, unless either (1) </w:t>
            </w:r>
            <w:r>
              <w:rPr>
                <w:strike/>
                <w:color w:val="FF0000"/>
              </w:rPr>
              <w:t>sub-clause</w:t>
            </w:r>
            <w:r>
              <w:rPr>
                <w:color w:val="0000FF"/>
                <w:u w:val="single"/>
              </w:rPr>
              <w:t>clause</w:t>
            </w:r>
            <w:r>
              <w:rPr/>
              <w:t xml:space="preserve"> (i) in the immediately preceding clause (a) is true with respect to a Lender or (2) </w:t>
            </w:r>
            <w:r>
              <w:rPr>
                <w:strike/>
                <w:color w:val="FF0000"/>
              </w:rPr>
              <w:t>such</w:t>
            </w:r>
            <w:r>
              <w:rPr>
                <w:color w:val="0000FF"/>
                <w:u w:val="single"/>
              </w:rPr>
              <w:t>a</w:t>
            </w:r>
            <w:r>
              <w:rPr/>
              <w:t xml:space="preserve"> Lender has </w:t>
            </w:r>
            <w:r>
              <w:rPr>
                <w:strike/>
                <w:color w:val="FF0000"/>
              </w:rPr>
              <w:t xml:space="preserve">not </w:t>
            </w:r>
            <w:r>
              <w:rPr/>
              <w:t xml:space="preserve">provided another representation, warranty and covenant </w:t>
            </w:r>
            <w:r>
              <w:rPr>
                <w:strike/>
                <w:color w:val="FF0000"/>
              </w:rPr>
              <w:t>as provided in sub-clause</w:t>
            </w:r>
            <w:r>
              <w:rPr>
                <w:color w:val="0000FF"/>
                <w:u w:val="single"/>
              </w:rPr>
              <w:t>in accordance with clause</w:t>
            </w:r>
            <w:r>
              <w:rPr/>
              <w:t xml:space="preserv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Borrowers or any other Loan Party, that</w:t>
            </w:r>
            <w:r>
              <w:rPr>
                <w:strike/>
                <w:color w:val="FF0000"/>
              </w:rPr>
              <w:t>:</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 xml:space="preserve">none of the Administrative Agent, or the Arranger or any of their respective Affiliates is a fiduciary with respect to the assets of such Lender </w:t>
      </w:r>
      <w:r>
        <w:rPr>
          <w:rFonts w:ascii="Times New Roman;Times;Serif" w:hAnsi="Times New Roman;Times;Serif"/>
          <w:b w:val="false"/>
          <w:i w:val="false"/>
          <w:caps w:val="false"/>
          <w:smallCaps w:val="false"/>
          <w:color w:val="0000FF"/>
          <w:sz w:val="20"/>
          <w:u w:val="single"/>
        </w:rPr>
        <w:t xml:space="preserve">involved in such Lender’s </w:t>
      </w:r>
      <w:r>
        <w:rPr>
          <w:rFonts w:ascii="Times New Roman;Times;Serif" w:hAnsi="Times New Roman;Times;Serif"/>
          <w:b w:val="false"/>
          <w:i w:val="false"/>
          <w:caps w:val="false"/>
          <w:smallCaps w:val="false"/>
          <w:color w:val="008000"/>
          <w:sz w:val="20"/>
          <w:u w:val="single"/>
        </w:rPr>
        <w:t>entrance into, participation in,</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administration of and performance of the </w:t>
      </w:r>
      <w:r>
        <w:rPr>
          <w:rFonts w:ascii="Times New Roman;Times;Serif" w:hAnsi="Times New Roman;Times;Serif"/>
          <w:b w:val="false"/>
          <w:i w:val="false"/>
          <w:caps w:val="false"/>
          <w:smallCaps w:val="false"/>
          <w:color w:val="008000"/>
          <w:sz w:val="20"/>
          <w:u w:val="single"/>
        </w:rPr>
        <w:t xml:space="preserve">Loans, the Letters of Credit, the </w:t>
      </w:r>
      <w:r>
        <w:rPr>
          <w:rFonts w:ascii="Times New Roman;Times;Serif" w:hAnsi="Times New Roman;Times;Serif"/>
          <w:b w:val="false"/>
          <w:i w:val="false"/>
          <w:caps w:val="false"/>
          <w:smallCaps w:val="false"/>
          <w:color w:val="0000FF"/>
          <w:sz w:val="20"/>
          <w:u w:val="single"/>
        </w:rPr>
        <w:t xml:space="preserve">Commitments and this Agreement </w:t>
      </w:r>
      <w:r>
        <w:rPr>
          <w:rFonts w:ascii="Times New Roman;Times;Serif" w:hAnsi="Times New Roman;Times;Serif"/>
          <w:b w:val="false"/>
          <w:i w:val="false"/>
          <w:caps w:val="false"/>
          <w:smallCaps w:val="false"/>
          <w:sz w:val="20"/>
        </w:rPr>
        <w:t xml:space="preserve">(including in connection with the reservation or exercise of any rights by the Administrative Agent under this Agreement, any Loan Document or any documents related </w:t>
      </w:r>
      <w:r>
        <w:rPr>
          <w:rFonts w:ascii="Times New Roman;Times;Serif" w:hAnsi="Times New Roman;Times;Serif"/>
          <w:b w:val="false"/>
          <w:i w:val="false"/>
          <w:caps w:val="false"/>
          <w:smallCaps w:val="false"/>
          <w:strike/>
          <w:color w:val="FF0000"/>
          <w:sz w:val="20"/>
        </w:rPr>
        <w:t xml:space="preserve">to </w:t>
      </w:r>
      <w:r>
        <w:rPr>
          <w:rFonts w:ascii="Times New Roman;Times;Serif" w:hAnsi="Times New Roman;Times;Serif"/>
          <w:b w:val="false"/>
          <w:i w:val="false"/>
          <w:caps w:val="false"/>
          <w:smallCaps w:val="false"/>
          <w:sz w:val="20"/>
        </w:rPr>
        <w:t>hereto or thereto)</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(ii) the Person making the investment decision on behalf of such Lender with respect to the </w:t>
      </w:r>
      <w:r>
        <w:rPr>
          <w:rFonts w:ascii="Times New Roman;Times;Serif" w:hAnsi="Times New Roman;Times;Serif"/>
          <w:b w:val="false"/>
          <w:i w:val="false"/>
          <w:caps w:val="false"/>
          <w:smallCaps w:val="false"/>
          <w:strike/>
          <w:color w:val="008000"/>
          <w:sz w:val="20"/>
        </w:rPr>
        <w:t xml:space="preserve">entrance into, participation in, administration of and performance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trike/>
          <w:color w:val="008000"/>
          <w:sz w:val="20"/>
        </w:rPr>
        <w:t xml:space="preserve">Loans, the Letters of Credit, the </w:t>
      </w:r>
      <w:r>
        <w:rPr>
          <w:rFonts w:ascii="Times New Roman;Times;Serif" w:hAnsi="Times New Roman;Times;Serif"/>
          <w:b w:val="false"/>
          <w:i w:val="false"/>
          <w:caps w:val="false"/>
          <w:smallCaps w:val="false"/>
          <w:strike/>
          <w:color w:val="FF0000"/>
          <w:sz w:val="20"/>
        </w:rPr>
        <w:t>Revolving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pStyle w:val="TextBody"/>
        <w:bidi w:val="0"/>
        <w:spacing w:before="0" w:after="240"/>
        <w:ind w:left="72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(iii) the Person making the investment decision on behalf of such Lender with respect to the entrance into, participation in, administration of and performance of the Revolving Loans, the Letters of Credit, the Revolving Commitments and this Agreement is capable of evaluating investment risks independently, both in general and with regard to particular transactions and investment strategies (including in respect of the Obligations),</w:t>
      </w:r>
    </w:p>
    <w:p>
      <w:pPr>
        <w:pStyle w:val="TextBody"/>
        <w:bidi w:val="0"/>
        <w:spacing w:before="0" w:after="240"/>
        <w:ind w:left="72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(iv) the Person making the investment decision on behalf of such Lender with respect to the entrance into, participation in, administration of and performance of the Revolving Loans, the Letters of Credit, the Revolving Commitments and this Agreement is a fiduciary under ERISA or the Code, or both, with respect to the Revolving Loans, the Letters of Credit, the Revolving Commitments and this Agreement and is responsible for exercising independent judgment in evaluating the transactions hereunder, and</w:t>
      </w:r>
    </w:p>
    <w:p>
      <w:pPr>
        <w:pStyle w:val="TextBody"/>
        <w:bidi w:val="0"/>
        <w:spacing w:before="0" w:after="240"/>
        <w:ind w:left="72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 no fee or other compensation is being paid directly to the Administrative Agent or the Arranger or any their respective Affiliates for investment advice (as opposed to other services) in connection with the Revolving Loans, the Letters of Credit, the Revolving Commitments or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(c) The Administrative Agent and the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Revolving Loans, the Letters of Credit, the Revolving Commitments and this Agreement, (ii) may recognize a gain if it extended the Revolving Loans, the Letters of Credit or the Revolving Commitments for an amount less than the amount being paid for an interest in the Revolving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86.02      </w:t>
      </w:r>
      <w:r>
        <w:rPr>
          <w:rFonts w:ascii="Times New Roman;Times;Serif" w:hAnsi="Times New Roman;Times;Serif"/>
          <w:b/>
          <w:i w:val="false"/>
          <w:caps w:val="false"/>
          <w:smallCaps w:val="false"/>
          <w:sz w:val="20"/>
          <w:u w:val="single"/>
        </w:rPr>
        <w:t>Parallel Obligations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left"/>
              <w:rPr/>
            </w:pPr>
            <w:r>
              <w:rPr/>
              <w:t>For the purpose of ensuring and preserving the validity and enforceability of the Pledge, each Loan Party hereby irrevocably and unconditionally agrees and covenants with the Administrative Agent in its capacity as collateral agent to pay directly to the Administrative Agent in its capacity as collateral agent, as creditor in its own right and not as agent, trustee or</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(vertegenwoordiger) of the Secured Parties, on the Administrative Agent’s first demand, amounts equal to, and in the currency of, the Secured Obligations owed by it as and when such amounts fall due in accordance with the terms and conditions of any of the Loan Documents (the obligations of each Loan Party under this clause, the "Parallel Obligations”</w:t>
      </w:r>
      <w:r>
        <w:rPr>
          <w:rFonts w:ascii="Times New Roman;Times;Serif" w:hAnsi="Times New Roman;Times;Serif"/>
          <w:b/>
          <w:i w:val="false"/>
          <w:caps w:val="false"/>
          <w:smallCaps w:val="false"/>
          <w:sz w:val="20"/>
          <w:u w:val="single"/>
        </w:rPr>
        <w:t>)</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t>Each Loan Party and the Administrative Agent in its capacity as collateral agent agree and acknowledge that (i) the Parallel Obligations of each Loan Party are separate and independent from and without prejudice to the Secured Obligations, and (ii) the Administrative Agent’s claim to receive payment from each Loan Party of the Parallel Obligations represents the Administrative Agent’s own claim (vordering op naam), separate and independent from the claims of the Secured Parties under the Secured Obligations, provided that the total amount due by such Loan Party under the Parallel Obligations shall never exceed the total amount due under the Secured Obligations.</w:t>
            </w:r>
          </w:p>
        </w:tc>
      </w:tr>
    </w:tbl>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left"/>
              <w:rPr/>
            </w:pPr>
            <w:r>
              <w:rPr/>
              <w:t>Any amount unconditionally and irrevocably received or applied by the Administrative Agent in its capacity as collateral agent in payment of the Parallel Obligations of a Loan Party, shall equally reduce the total amount due under the Secured Obligations (the "</w:t>
            </w:r>
            <w:r>
              <w:rPr>
                <w:u w:val="single"/>
              </w:rPr>
              <w:t>Parallel Discharge</w:t>
            </w:r>
            <w:r>
              <w:rPr/>
              <w:t>"), and any amount unconditionally and irrevocably received or applied by any of the Secured Parties in payment of the Secured Obligations, shall equally reduce the Parallel Obligations of that Loan Party.</w:t>
            </w:r>
          </w:p>
        </w:tc>
      </w:tr>
    </w:tbl>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(d)</w:t>
            </w:r>
          </w:p>
        </w:tc>
        <w:tc>
          <w:tcPr>
            <w:tcW w:w="9913" w:type="dxa"/>
            <w:tcBorders/>
            <w:vAlign w:val="center"/>
          </w:tcPr>
          <w:p>
            <w:pPr>
              <w:pStyle w:val="TableContents"/>
              <w:bidi w:val="0"/>
              <w:spacing w:before="0" w:after="283"/>
              <w:jc w:val="left"/>
              <w:rPr/>
            </w:pPr>
            <w:r>
              <w:rPr/>
              <w:t>The Administrative Agent in its capacity as collateral agent unconditionally and irrevocably represents and agrees to procure that the Parallel Discharge shall be effected as indicated.</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left"/>
              <w:rPr/>
            </w:pPr>
            <w:r>
              <w:rPr/>
              <w:t>If, after enforcement of the right of pledge created or purported to be created under this Pledge, the proceeds are not sufficient to satisfy and discharge the Parallel Obligations in full, the unpaid balance of such Parallel Obligations shall then cease to exist.</w:t>
            </w:r>
          </w:p>
        </w:tc>
      </w:tr>
    </w:tbl>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(f)</w:t>
            </w:r>
          </w:p>
        </w:tc>
        <w:tc>
          <w:tcPr>
            <w:tcW w:w="9973" w:type="dxa"/>
            <w:tcBorders/>
            <w:vAlign w:val="center"/>
          </w:tcPr>
          <w:p>
            <w:pPr>
              <w:pStyle w:val="TableContents"/>
              <w:bidi w:val="0"/>
              <w:spacing w:before="0" w:after="283"/>
              <w:jc w:val="left"/>
              <w:rPr/>
            </w:pPr>
            <w:r>
              <w:rPr/>
              <w:t>Notwithstanding clause 11.14 (Governing Law; Jurisdiction; Etc.) of the Credit Agreement, this clause 9.13 (Parallel Obligations) and any non-contractual obligations arising out of it or in connection with it, shall be governed by and construed in accordance with Dutch law.</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86.03      </w:t>
      </w:r>
      <w:r>
        <w:rPr>
          <w:rFonts w:ascii="Times New Roman;Times;Serif" w:hAnsi="Times New Roman;Times;Serif"/>
          <w:b/>
          <w:i w:val="false"/>
          <w:caps w:val="false"/>
          <w:smallCaps w:val="false"/>
          <w:sz w:val="20"/>
          <w:u w:val="single"/>
        </w:rPr>
        <w:t>Recovery of Erroneous Payments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limitation of any other provision in this Agreement, if at any time the Administrative Agent makes a payment hereunder in error to any Lender or the L/C Issuer (as used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u w:val="single"/>
        </w:rPr>
        <w:t>Credit Party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whether or not in respect of an Obligation due and owing by the Borrowers at such time, where such payment is a Rescindable Amount, then in any such event, each Credit Party receiving a Rescindable Amount severally agrees to repay to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LXXXVII</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GUARANTY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87.01      </w:t>
      </w:r>
      <w:r>
        <w:rPr>
          <w:rFonts w:ascii="Times New Roman;Times;Serif" w:hAnsi="Times New Roman;Times;Serif"/>
          <w:b/>
          <w:i w:val="false"/>
          <w:caps w:val="false"/>
          <w:smallCaps w:val="false"/>
          <w:sz w:val="20"/>
          <w:u w:val="single"/>
        </w:rPr>
        <w:t>Guaranty</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107"/>
        <w:gridCol w:w="775"/>
        <w:gridCol w:w="9323"/>
      </w:tblGrid>
      <w:tr>
        <w:trPr/>
        <w:tc>
          <w:tcPr>
            <w:tcW w:w="10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pPr>
            <w:r>
              <w:rPr/>
              <w:t>(a)</w:t>
            </w:r>
          </w:p>
        </w:tc>
        <w:tc>
          <w:tcPr>
            <w:tcW w:w="9323" w:type="dxa"/>
            <w:tcBorders/>
            <w:vAlign w:val="center"/>
          </w:tcPr>
          <w:p>
            <w:pPr>
              <w:pStyle w:val="TableContents"/>
              <w:bidi w:val="0"/>
              <w:spacing w:before="0" w:after="283"/>
              <w:jc w:val="left"/>
              <w:rPr/>
            </w:pPr>
            <w:r>
              <w:rPr>
                <w:u w:val="single"/>
              </w:rPr>
              <w:t>Guaranty of Domestic Guarantors</w:t>
            </w:r>
            <w:r>
              <w:rPr/>
              <w:t>.</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Domestic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Domestic Guarantor, subject to the proviso in this sentence, its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Guaranteed Obligations of a Domestic Guarantor shall exclude any Excluded Swap Obligations with respect to such Domestic Guarantor and (b) the liability of each Domestic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or other applicable law. The Administrative Agent’s books and records showing the amount of the Obligations shall be admissible in evidence in any action or proceeding, and shall be binding upon each Domestic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Domestic Guarantor, or any of them, under this Guaranty, and each Domestic Guarantor hereby irrevocably waives any defenses it may now have or hereafter acquire in any way relating to any or all of the foregoing.</w:t>
      </w:r>
    </w:p>
    <w:tbl>
      <w:tblPr>
        <w:tblW w:w="5000" w:type="pct"/>
        <w:jc w:val="left"/>
        <w:tblInd w:w="0" w:type="dxa"/>
        <w:tblLayout w:type="fixed"/>
        <w:tblCellMar>
          <w:top w:w="0" w:type="dxa"/>
          <w:left w:w="0" w:type="dxa"/>
          <w:bottom w:w="0" w:type="dxa"/>
          <w:right w:w="0" w:type="dxa"/>
        </w:tblCellMar>
      </w:tblPr>
      <w:tblGrid>
        <w:gridCol w:w="111"/>
        <w:gridCol w:w="854"/>
        <w:gridCol w:w="9240"/>
      </w:tblGrid>
      <w:tr>
        <w:trPr/>
        <w:tc>
          <w:tcPr>
            <w:tcW w:w="1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(b)</w:t>
            </w:r>
          </w:p>
        </w:tc>
        <w:tc>
          <w:tcPr>
            <w:tcW w:w="9240" w:type="dxa"/>
            <w:tcBorders/>
            <w:vAlign w:val="center"/>
          </w:tcPr>
          <w:p>
            <w:pPr>
              <w:pStyle w:val="TableContents"/>
              <w:bidi w:val="0"/>
              <w:spacing w:before="0" w:after="283"/>
              <w:jc w:val="left"/>
              <w:rPr/>
            </w:pPr>
            <w:r>
              <w:rPr>
                <w:u w:val="single"/>
              </w:rPr>
              <w:t>Guaranty of Foreign Guarantors</w:t>
            </w:r>
            <w:r>
              <w:rPr/>
              <w:t>.</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Foreign Guarantor hereby absolutely and unconditionally, jointly and severally guarantees, as primary obligor and as a guaranty of payment and performance and not merely as a guaranty of collection, prompt payment when due, whether at stated maturity, by required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upon acceleration, demand or otherwise, and at all times thereafter, of any and all Secured Obligations of the Foreign Borrowers and Foreign Subsidiaries (for each Foreign Guarantor subject to the proviso in this sentence, its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Guaranteed Obligations of a Foreign Guarantor shall exclude any Excluded Swap Obligations with respect to such Foreign Guarantor, (ii) the liability of each Foreign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or other applicable law and (iii) the Guaranteed Obligations of a Foreign Guarantor shall exclude any Obligations or Secured Obligations of any Domestic Borrower, any Domestic Guarantor or any other Domestic Subsidiary. The Administrative Agent’s books and records showing the amount of the Obligations of the Foreign Borrowers and Foreign Subsidiaries shall be admissible in evidence in any action or proceeding, and shall be binding upon each Foreign Guarantor, and conclusive for the purpose of establishing the amount of the Secured Obligations of the Foreign Borrowers and Foreign Subsidiaries. This Guaranty shall not be affected by the genuineness, validity, regularity or enforceability of the Secured Obligations of the Foreign Borrowers and the Foreign Subsidiaries or any instrument or agreement evidencing any Secured Obligations of the Foreign Borrowers or the Foreign Subsidiaries, or by the existence, validity, enforceability, perfection, non-perfection or extent of any collateral therefor, or by any fact or circumstance relating to the Secured Obligations of the Foreign Borrowers or the Foreign Subsidiaries which might otherwise constitute a defense to the obligations of the Foreign Guarantors, or any of them, under this Guaranty, and each Foreign Guarantor hereby irrevocably waives any defenses it may now have or hereafter acquire in any way relating to any or all of the foregoing.</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contained to the contrary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in any Loan Document, (A) no Foreign Borrower shall be obligated with respect to any Secured Obligations of the Domestic Borrowers or of any Domestic Subsidiary, and (B) no Foreign Borrower shall be obligated as a Guarantor under Article X with respect to the Secured Obligations of the Domestic Borrowers or any Domestic Subsidiary.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87.02      </w:t>
      </w:r>
      <w:r>
        <w:rPr>
          <w:rFonts w:ascii="Times New Roman;Times;Serif" w:hAnsi="Times New Roman;Times;Serif"/>
          <w:b/>
          <w:i w:val="false"/>
          <w:caps w:val="false"/>
          <w:smallCaps w:val="false"/>
          <w:sz w:val="20"/>
          <w:u w:val="single"/>
        </w:rPr>
        <w:t>Rights of Lenders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87.03      </w:t>
      </w:r>
      <w:r>
        <w:rPr>
          <w:rFonts w:ascii="Times New Roman;Times;Serif" w:hAnsi="Times New Roman;Times;Serif"/>
          <w:b/>
          <w:i w:val="false"/>
          <w:caps w:val="false"/>
          <w:smallCaps w:val="false"/>
          <w:sz w:val="20"/>
          <w:u w:val="single"/>
        </w:rPr>
        <w:t>Certain Waivers</w:t>
      </w:r>
      <w:r>
        <w:rPr>
          <w:rFonts w:ascii="Times New Roman;Times;Serif" w:hAnsi="Times New Roman;Times;Serif"/>
          <w:b w:val="false"/>
          <w:i w:val="false"/>
          <w:caps w:val="false"/>
          <w:smallCaps w:val="false"/>
          <w:sz w:val="20"/>
        </w:rPr>
        <w: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waives (a) any defense arising by reason of any disability or other defense of any Borrower or any other guarantor, or the cessation from any cause whatsoever (including any act or omission of any Secured Party) of the liability of any Borrower or any other Loan Party; (b) any defense based on any claim that such Guarantor’s obligations exceed or are more burdensome than those of any Borrower or any other Loan Party; (c) the benefit of any statute of limitations affecting any Guarantor’s liability hereunder; (d) any right to proceed against any Borrower or any other Loan Party, proceed against or exhaust any security for the applicable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applicable Secured Obligations, and all notices of acceptance of this Guaranty or of the existence, creation or incurrence of new or additional Secured Obligations.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87.04      </w:t>
      </w:r>
      <w:r>
        <w:rPr>
          <w:rFonts w:ascii="Times New Roman;Times;Serif" w:hAnsi="Times New Roman;Times;Serif"/>
          <w:b/>
          <w:i w:val="false"/>
          <w:caps w:val="false"/>
          <w:smallCaps w:val="false"/>
          <w:sz w:val="20"/>
          <w:u w:val="single"/>
        </w:rPr>
        <w:t>Obligations Independent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any Borrower or any other person or entity is joined as a party.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87.05      </w:t>
      </w:r>
      <w:r>
        <w:rPr>
          <w:rFonts w:ascii="Times New Roman;Times;Serif" w:hAnsi="Times New Roman;Times;Serif"/>
          <w:b/>
          <w:i w:val="false"/>
          <w:caps w:val="false"/>
          <w:smallCaps w:val="false"/>
          <w:sz w:val="20"/>
          <w:u w:val="single"/>
        </w:rPr>
        <w:t>Subrogation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Guarantor shall exercise any right of subrogation, contribution, indemnity, reimbursement or similar rights with respect to any payments it makes under this Guaranty until the Facility Termination Date has occurred.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87.06      </w:t>
      </w:r>
      <w:r>
        <w:rPr>
          <w:rFonts w:ascii="Times New Roman;Times;Serif" w:hAnsi="Times New Roman;Times;Serif"/>
          <w:b/>
          <w:i w:val="false"/>
          <w:caps w:val="false"/>
          <w:smallCaps w:val="false"/>
          <w:sz w:val="20"/>
          <w:u w:val="single"/>
        </w:rPr>
        <w:t>Termination; Reinstatement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Guaranty is a continuing and irrevocable guaranty of all Secured Obligations, as applicable, now or hereafter existing and shall remain in full force and effect until the Facility Termination Date. Notwithstanding the foregoing, this Guaranty shall continue in full force and effect or be revived, as the case may be, if any payment by or on behalf of any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have released this Guaranty and regardless of any prior revocation, rescission, termination or reduction. The obligations of each Guarantor under this paragraph shall survive termination of this Guaranty.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87.07      </w:t>
      </w:r>
      <w:r>
        <w:rPr>
          <w:rFonts w:ascii="Times New Roman;Times;Serif" w:hAnsi="Times New Roman;Times;Serif"/>
          <w:b/>
          <w:i w:val="false"/>
          <w:caps w:val="false"/>
          <w:smallCaps w:val="false"/>
          <w:sz w:val="20"/>
          <w:u w:val="single"/>
        </w:rPr>
        <w:t>Stay of Acceleration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acceleration of the time for payment of any of the Secured Obligations is stayed, in connection with any case commenced by or against a Guarantor or any Borrower under any Debtor Relief Laws, or otherwise, all such amounts shall nonetheless be payable by each Guarantor, jointly and severally, immediately upon demand by the Secured Parties.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87.08      </w:t>
      </w:r>
      <w:r>
        <w:rPr>
          <w:rFonts w:ascii="Times New Roman;Times;Serif" w:hAnsi="Times New Roman;Times;Serif"/>
          <w:b/>
          <w:i w:val="false"/>
          <w:caps w:val="false"/>
          <w:smallCaps w:val="false"/>
          <w:sz w:val="20"/>
          <w:u w:val="single"/>
        </w:rPr>
        <w:t>Condition of Borrower</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acknowledges and agrees that it has the sole responsibility for, and has adequate means of, obtaining from each Borrower and any other guarantor such information concerning the financial condition, business and operations of the Borrowers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Borrowers or any other guarantor (each Guarantor waiving any duty on the part of the Secured Parties to disclose such information and any defense relating to the failure to provide the same).</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87.09      </w:t>
      </w:r>
      <w:r>
        <w:rPr>
          <w:rFonts w:ascii="Times New Roman;Times;Serif" w:hAnsi="Times New Roman;Times;Serif"/>
          <w:b/>
          <w:i w:val="false"/>
          <w:caps w:val="false"/>
          <w:smallCaps w:val="false"/>
          <w:sz w:val="20"/>
          <w:u w:val="single"/>
        </w:rPr>
        <w:t>Appointment of the Parent as Agent for All Loan Parties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Borrower and each other Loan Party hereby appoints the Parent to act as its agent and representative for all purposes of this Agreement, the other Loan Documents and all other documents and electronic platforms entered into in connection herewith and agrees that (a) the Parent may execute such documents and provide such authorizations on behalf of such Loan Parties as the Parent deems appropriate in its sole discretion and each Loan Party shall be obligated by all of the terms of any such document and/or authorization executed on its behalf, (b) any notice or communication delivered by the Administrative Agent, L/C Issuer or a Lender to the Parent shall be deemed delivered to each Loan Party and (c) the Administrative Agent, L/C Issuer or the Lenders may accept, and be permitted to rely on, any document, authorization, instrument or agreement executed by the Parent on behalf of each of the Loan Parties.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87.10      </w:t>
      </w:r>
      <w:r>
        <w:rPr>
          <w:rFonts w:ascii="Times New Roman;Times;Serif" w:hAnsi="Times New Roman;Times;Serif"/>
          <w:b/>
          <w:i w:val="false"/>
          <w:caps w:val="false"/>
          <w:smallCaps w:val="false"/>
          <w:sz w:val="20"/>
          <w:u w:val="single"/>
        </w:rPr>
        <w:t>Right of Contribution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agree among themselves that, in connection with payments made hereunder, each Guarantor shall have contribution rights against the other Guarantors as permitted under applicable Law.</w:t>
      </w:r>
    </w:p>
    <w:tbl>
      <w:tblPr>
        <w:tblW w:w="5000" w:type="pct"/>
        <w:jc w:val="left"/>
        <w:tblInd w:w="0" w:type="dxa"/>
        <w:tblLayout w:type="fixed"/>
        <w:tblCellMar>
          <w:top w:w="0" w:type="dxa"/>
          <w:left w:w="0" w:type="dxa"/>
          <w:bottom w:w="0" w:type="dxa"/>
          <w:right w:w="0" w:type="dxa"/>
        </w:tblCellMar>
      </w:tblPr>
      <w:tblGrid>
        <w:gridCol w:w="263"/>
        <w:gridCol w:w="3879"/>
        <w:gridCol w:w="6063"/>
      </w:tblGrid>
      <w:tr>
        <w:trPr/>
        <w:tc>
          <w:tcPr>
            <w:tcW w:w="263" w:type="dxa"/>
            <w:tcBorders/>
            <w:vAlign w:val="center"/>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pPr>
            <w:r>
              <w:rPr/>
              <w:t>87.11</w:t>
            </w:r>
          </w:p>
        </w:tc>
        <w:tc>
          <w:tcPr>
            <w:tcW w:w="6063" w:type="dxa"/>
            <w:tcBorders/>
            <w:vAlign w:val="center"/>
          </w:tcPr>
          <w:p>
            <w:pPr>
              <w:pStyle w:val="TableContents"/>
              <w:bidi w:val="0"/>
              <w:spacing w:before="0" w:after="283"/>
              <w:jc w:val="left"/>
              <w:rPr/>
            </w:pPr>
            <w:r>
              <w:rPr>
                <w:rFonts w:ascii="Times New Roman;Times;Serif" w:hAnsi="Times New Roman;Times;Serif"/>
                <w:b/>
                <w:sz w:val="20"/>
                <w:u w:val="single"/>
              </w:rPr>
              <w:t>Keepwell</w:t>
            </w:r>
            <w:r>
              <w:rPr/>
              <w:t>.</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Article X voidable under applicable law relating to fraudulent conveyance or fraudulent transfer, and not for any greater amount). The obligations and undertakings of each Qualified ECP Guarantor under this Section shall remain in full force and effect until the Secured Obligations have been indefeasibly paid and performed in full.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Article LXXXVIII</w:t>
      </w:r>
    </w:p>
    <w:p>
      <w:pPr>
        <w:pStyle w:val="TextBody"/>
        <w:bidi w:val="0"/>
        <w:spacing w:before="0" w:after="0"/>
        <w:jc w:val="left"/>
        <w:rPr>
          <w:caps w:val="false"/>
          <w:smallCaps w:val="false"/>
        </w:rPr>
      </w:pPr>
      <w:r>
        <w:rPr>
          <w:caps w:val="false"/>
          <w:smallCaps w:val="false"/>
        </w:rPr>
        <w:t> </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88.01      </w:t>
      </w:r>
      <w:r>
        <w:rPr>
          <w:rFonts w:ascii="Times New Roman;Times;Serif" w:hAnsi="Times New Roman;Times;Serif"/>
          <w:b/>
          <w:i w:val="false"/>
          <w:caps w:val="false"/>
          <w:smallCaps w:val="false"/>
          <w:sz w:val="20"/>
          <w:u w:val="single"/>
        </w:rPr>
        <w:t>Amendments, Etc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Section 3.03(c) and the last paragraph of this Section 11.01, no amendment or waiver of any provision of this Agreement or any other Loan Document, and no consent to any departure by the Borrowers or any other Loan Party therefrom, shall be effective unless in writing signed by the Required Lenders (or by the Administrative Agent with the consent of the Required Lenders) and the Borrowers or the applicable Loan Party, as the case may be, and acknowledged by the Administrative Agent, and each such waiver or consent shall be effective only in the specific instance and for the specific purpose for which given;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no such amendment, waiver or consent shall:</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t>waive any condition set forth in Section 4.01 (other than Section 4.01(l) and (m)), without the written consent of each Lender except that, in the sole discretion of the Administrative Agent, only a waiver by the Administrative Agent shall be required with respect to immaterial matters or items specified in Section 4.01(e)(iv) or (f) and other items noted in the post-closing letter made available to the Lenders with respect to which the Loan Parties have given assurances satisfactory to the Administrative Agent that such items shall be delivered promptly following the Closing Date;</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left"/>
              <w:rPr/>
            </w:pPr>
            <w:r>
              <w:rPr/>
              <w:t>extend or increase the Revolving Commitment of any Lender (or reinstate any Revolving Commitment terminated pursuant to Section 8.02) without the written consent of such Lender (it being understood and agreed that a waiver of any condition precedent in Section 4.02 or of any Default or a mandatory reduction in the Revolving Commitments is not considered an extension or increase in the Revolving Commitment of any Lender);</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left"/>
              <w:rPr/>
            </w:pPr>
            <w:r>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left"/>
              <w:rPr/>
            </w:pPr>
            <w:r>
              <w:rPr/>
              <w:t>reduce the principal of, or the rate of interest specified herein on, any Loan or L/C Borrowing, or (subject to clause (iv) of the proviso to this Section 11.01) any fees or other amounts payable hereunder or under any other Loan Document</w:t>
            </w:r>
            <w:r>
              <w:rPr>
                <w:b/>
              </w:rPr>
              <w:t>,</w:t>
            </w:r>
            <w:r>
              <w:rPr/>
              <w:t xml:space="preserve"> without the written consent of each Lender entitled to such amount; </w:t>
            </w:r>
            <w:r>
              <w:rPr>
                <w:u w:val="single"/>
              </w:rPr>
              <w:t>provided</w:t>
            </w:r>
            <w:r>
              <w:rPr/>
              <w:t xml:space="preserve">, </w:t>
            </w:r>
            <w:r>
              <w:rPr>
                <w:u w:val="single"/>
              </w:rPr>
              <w:t>however</w:t>
            </w:r>
            <w:r>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left"/>
              <w:rPr/>
            </w:pPr>
            <w:r>
              <w:rPr/>
              <w:t>change (i) Section 8.03 in a manner that would alter the pro rata sharing of payments required thereby without the written consent of each Lender directly and adversely affected thereby or (ii) Section 2.12(f) in a manner that would alter the pro rata application required thereby without the written consent of each Lender directly and adversely affected thereby;</w:t>
            </w:r>
          </w:p>
        </w:tc>
      </w:tr>
    </w:tbl>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(f)</w:t>
            </w:r>
          </w:p>
        </w:tc>
        <w:tc>
          <w:tcPr>
            <w:tcW w:w="9979" w:type="dxa"/>
            <w:tcBorders/>
            <w:vAlign w:val="center"/>
          </w:tcPr>
          <w:p>
            <w:pPr>
              <w:pStyle w:val="TableContents"/>
              <w:bidi w:val="0"/>
              <w:spacing w:before="0" w:after="283"/>
              <w:jc w:val="left"/>
              <w:rPr/>
            </w:pPr>
            <w:r>
              <w:rPr/>
              <w:t>change any provision of this Section 11.01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tc>
      </w:tr>
    </w:tbl>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(g)</w:t>
            </w:r>
          </w:p>
        </w:tc>
        <w:tc>
          <w:tcPr>
            <w:tcW w:w="9899" w:type="dxa"/>
            <w:tcBorders/>
            <w:vAlign w:val="center"/>
          </w:tcPr>
          <w:p>
            <w:pPr>
              <w:pStyle w:val="TableContents"/>
              <w:bidi w:val="0"/>
              <w:spacing w:before="0" w:after="283"/>
              <w:jc w:val="left"/>
              <w:rPr/>
            </w:pPr>
            <w:r>
              <w:rPr/>
              <w:t>release all or substantially all of the Collateral in any transaction or series of related transactions, without the written consent of each Lender;</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(h)</w:t>
            </w:r>
          </w:p>
        </w:tc>
        <w:tc>
          <w:tcPr>
            <w:tcW w:w="9929" w:type="dxa"/>
            <w:tcBorders/>
            <w:vAlign w:val="center"/>
          </w:tcPr>
          <w:p>
            <w:pPr>
              <w:pStyle w:val="TableContents"/>
              <w:bidi w:val="0"/>
              <w:spacing w:before="0" w:after="283"/>
              <w:jc w:val="left"/>
              <w:rPr/>
            </w:pPr>
            <w:r>
              <w:rPr/>
              <w:t>release all or substantially all of the value of the Guaranty, without the written consent of each Lender, except to the extent the release of any Subsidiary from the Guaranty is permitted pursuant to Section 9.10 (in which case such release may be made by the Administrative Agent acting alone);</w:t>
            </w:r>
          </w:p>
        </w:tc>
      </w:tr>
    </w:tbl>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left"/>
              <w:rPr/>
            </w:pPr>
            <w:r>
              <w:rPr/>
              <w:t>release any Borrower or permit any Borrower to assign or transfer any of its rights or obligations under this Agreement or the other Loan Documents without the consent of each Lender; or</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color w:val="7030A0"/>
              </w:rPr>
            </w:pPr>
            <w:r>
              <w:rPr>
                <w:color w:val="7030A0"/>
              </w:rPr>
              <w:t>(j)</w:t>
            </w:r>
          </w:p>
        </w:tc>
        <w:tc>
          <w:tcPr>
            <w:tcW w:w="9955" w:type="dxa"/>
            <w:tcBorders/>
            <w:vAlign w:val="center"/>
          </w:tcPr>
          <w:p>
            <w:pPr>
              <w:pStyle w:val="TableContents"/>
              <w:bidi w:val="0"/>
              <w:spacing w:before="0" w:after="283"/>
              <w:jc w:val="left"/>
              <w:rPr/>
            </w:pPr>
            <w:r>
              <w:rPr/>
              <w:t xml:space="preserve">amend </w:t>
            </w:r>
            <w:r>
              <w:rPr>
                <w:u w:val="single"/>
              </w:rPr>
              <w:t>Section 1.09</w:t>
            </w:r>
            <w:r>
              <w:rPr/>
              <w:t xml:space="preserve"> or the definition of “Alternative Currency” without the written consent of each Lender directly affected thereby.</w:t>
            </w:r>
          </w:p>
        </w:tc>
      </w:tr>
    </w:tbl>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(A)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(1) the Revolving Commitment of any Defaulting Lender may not be increased or extended without the consent of such Lender and (2) any waiver, amendment or modification requiring the consent of all Lenders or each affected Lender, that by its terms affects any Defaulting Lender disproportionately adversely relative to other affected Lenders, shall require the consent of such Defaulting Lender; (B)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(C) the Required Lenders shall determine whether or not to allow a Loan Party to use cash collateral in the context of a bankruptcy or insolvency proceeding and such determination shall be binding on all of the Lenders.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provision herein to the contrary, this Agreement may be amended with the written consent of the Administrative Agent, the L/C Issuer, the Borrowers and the Lenders affected thereby to amend the definition of “Alternative Currency” or “Term SOFR” solely to add additional currency options and the applicable interest rate with respect thereto, in each case solely to the extent permitted pursuant to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88.02      </w:t>
      </w:r>
      <w:r>
        <w:rPr>
          <w:rFonts w:ascii="Times New Roman;Times;Serif" w:hAnsi="Times New Roman;Times;Serif"/>
          <w:b/>
          <w:i w:val="false"/>
          <w:caps w:val="false"/>
          <w:smallCaps w:val="false"/>
          <w:sz w:val="20"/>
          <w:u w:val="single"/>
        </w:rPr>
        <w:t>Notices; Effectiveness; Electronic Communications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u w:val="single"/>
              </w:rPr>
              <w:t>Notices Generally</w:t>
            </w:r>
            <w:r>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mail or sent by fax transmission or e-mail transmission as follows, and all notices and other communications expressly permitted hereunder to be given by telephone shall be made to the applicable telephone number, as follows: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LXXXIX </w:t>
      </w:r>
      <w:r>
        <w:rPr>
          <w:rFonts w:ascii="Times New Roman;Times;Serif" w:hAnsi="Times New Roman;Times;Serif"/>
          <w:b w:val="false"/>
          <w:i w:val="false"/>
          <w:caps w:val="false"/>
          <w:smallCaps w:val="false"/>
          <w:sz w:val="20"/>
        </w:rPr>
        <w:t xml:space="preserve">if to the Borrowers or any other Loan Party, the Administrative Agent, the L/C Issuer or the Swingline Lender, to the address, fax number, e-mail address or telephone number specified for such Person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may be expressly set forth herein: (A) any requirement under this Agreement to provide notice to the Borrowers shall be deemed satisfied by providing notice to the Parent at the address set forth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 xml:space="preserve"> and (B) any requirement that the Borrowers provide notice to any other party shall be deemed satisfied if the Parent provides such notice; and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 </w:t>
      </w:r>
      <w:r>
        <w:rPr>
          <w:rFonts w:ascii="Times New Roman;Times;Serif" w:hAnsi="Times New Roman;Times;Serif"/>
          <w:b w:val="false"/>
          <w:i w:val="false"/>
          <w:caps w:val="false"/>
          <w:smallCaps w:val="false"/>
          <w:sz w:val="20"/>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pStyle w:val="TextBody"/>
        <w:bidi w:val="0"/>
        <w:spacing w:before="0" w:after="12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tbl>
      <w:tblPr>
        <w:tblW w:w="5755" w:type="dxa"/>
        <w:jc w:val="left"/>
        <w:tblInd w:w="0" w:type="dxa"/>
        <w:tblLayout w:type="fixed"/>
        <w:tblCellMar>
          <w:top w:w="0" w:type="dxa"/>
          <w:left w:w="0" w:type="dxa"/>
          <w:bottom w:w="0" w:type="dxa"/>
          <w:right w:w="0" w:type="dxa"/>
        </w:tblCellMar>
      </w:tblPr>
      <w:tblGrid>
        <w:gridCol w:w="2945"/>
        <w:gridCol w:w="2735"/>
        <w:gridCol w:w="75"/>
      </w:tblGrid>
      <w:tr>
        <w:trPr/>
        <w:tc>
          <w:tcPr>
            <w:tcW w:w="2945" w:type="dxa"/>
            <w:tcBorders/>
            <w:vAlign w:val="center"/>
          </w:tcPr>
          <w:p>
            <w:pPr>
              <w:pStyle w:val="TableContents"/>
              <w:bidi w:val="0"/>
              <w:spacing w:before="0" w:after="283"/>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was prepared by:</w:t>
            </w:r>
          </w:p>
        </w:tc>
        <w:tc>
          <w:tcPr>
            <w:tcW w:w="27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Goulston &amp; Storrs, P.C.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 Third Avenue, 18th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Philip A. Herman, Esq.</w:t>
            </w:r>
          </w:p>
        </w:tc>
        <w:tc>
          <w:tcPr>
            <w:tcW w:w="75" w:type="dxa"/>
            <w:tcBorders/>
            <w:vAlign w:val="center"/>
          </w:tcPr>
          <w:p>
            <w:pPr>
              <w:pStyle w:val="TableContents"/>
              <w:bidi w:val="0"/>
              <w:spacing w:before="0" w:after="283"/>
              <w:jc w:val="left"/>
              <w:rPr/>
            </w:pPr>
            <w:r>
              <w:rPr/>
              <w:t> </w:t>
            </w:r>
          </w:p>
        </w:tc>
      </w:tr>
    </w:tbl>
    <w:p>
      <w:pPr>
        <w:pStyle w:val="TextBody"/>
        <w:bidi w:val="0"/>
        <w:ind w:left="0" w:right="0" w:firstLine="21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u w:val="single"/>
              </w:rPr>
              <w:t>Electronic Communications</w:t>
            </w:r>
            <w:r>
              <w:rPr/>
              <w:t xml:space="preserve">. 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u w:val="single"/>
              </w:rPr>
              <w:t>provided</w:t>
            </w:r>
            <w:r>
              <w:rPr/>
              <w:t xml:space="preserve"> that the foregoing shall not apply to notices to any Lender, the Swingline Lender or the L/C Issuer pursuant to Article II if such Lender, Swingline Lender or the L/C Issuer, as applicable, has notified the Administrative Agent that it is incapable of receiving notices under such Article by electronic communication. The Administrative Agent, the Swingline Lender, the L/C Issuer or the Borrowers may each, in its discretion, agree to accept notices and other communications to it hereunder by electronic communications pursuant to procedures approved by it, provided that approval of such procedures may be limited to particular notices or communications.</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if such notice or other communication is not sent during the normal business hours of the recipient, such notice, email or communication shall be deemed to have been sent at the opening of business on the next Business Day for the recipient.</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left"/>
              <w:rPr/>
            </w:pPr>
            <w:r>
              <w:rPr>
                <w:u w:val="single"/>
              </w:rPr>
              <w:t>The Platform</w:t>
            </w:r>
            <w:r>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u w:val="single"/>
              </w:rPr>
              <w:t>Agent Parties</w:t>
            </w:r>
            <w:r>
              <w:rPr/>
              <w:t xml:space="preserve">”) have any liability to the Borrowers,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 </w:t>
            </w:r>
            <w:r>
              <w:rPr>
                <w:u w:val="single"/>
              </w:rPr>
              <w:t>provided</w:t>
            </w:r>
            <w:r>
              <w:rPr/>
              <w:t xml:space="preserve">, </w:t>
            </w:r>
            <w:r>
              <w:rPr>
                <w:u w:val="single"/>
              </w:rPr>
              <w:t>however</w:t>
            </w:r>
            <w:r>
              <w:rPr/>
              <w:t>, that in no event shall any Agent Party have any liability to the Borrowers, any Lender or any other Person for indirect, special, incidental, consequential or punitive damages (as opposed to direct or actual damages).</w:t>
            </w:r>
          </w:p>
        </w:tc>
      </w:tr>
    </w:tbl>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left"/>
              <w:rPr/>
            </w:pPr>
            <w:r>
              <w:rPr>
                <w:u w:val="single"/>
              </w:rPr>
              <w:t>Change of Address, Etc</w:t>
            </w:r>
            <w:r>
              <w:rPr/>
              <w:t>. Each of the Borrowers,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Borrowers,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left"/>
              <w:rPr/>
            </w:pPr>
            <w:r>
              <w:rPr>
                <w:u w:val="single"/>
              </w:rPr>
              <w:t>Reliance by Administrative Agent, L/C Issuer and Lenders</w:t>
            </w:r>
            <w:r>
              <w:rPr/>
              <w:t>. The Administrative Agent, the L/C Issuer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90.02      </w:t>
      </w:r>
      <w:r>
        <w:rPr>
          <w:rFonts w:ascii="Times New Roman;Times;Serif" w:hAnsi="Times New Roman;Times;Serif"/>
          <w:b/>
          <w:i w:val="false"/>
          <w:caps w:val="false"/>
          <w:smallCaps w:val="false"/>
          <w:sz w:val="20"/>
          <w:u w:val="single"/>
        </w:rPr>
        <w:t>No Waiver; Cumulative Remedies; Enforcement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8.02 for the benefit of all the Lenders and the L/C Issuer;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Section 11.08 (subject to the terms of Section 2.13), or (d) any Lender from filing proofs of claim or appearing and filing pleadings on its own behalf during the pendency of a proceeding relative to any Loan Party under any Debtor Relief Law;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if at any time there is no Person acting as Administrative Agent hereunder and under the other Loan Documents, then (i) the Required Lenders shall have the rights otherwise ascribed to the Administrative Agent pursuant to Section 8.02 and (ii) in addition to the matters set forth in clauses (b), (c) and (d) of the preceding proviso and subject to Section 2.13, any Lender may, with the consent of the Required Lenders, enforce any rights and remedies available to it and as authorized by the Required Lenders.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90.03      </w:t>
      </w:r>
      <w:r>
        <w:rPr>
          <w:rFonts w:ascii="Times New Roman;Times;Serif" w:hAnsi="Times New Roman;Times;Serif"/>
          <w:b/>
          <w:i w:val="false"/>
          <w:caps w:val="false"/>
          <w:smallCaps w:val="false"/>
          <w:sz w:val="20"/>
          <w:u w:val="single"/>
        </w:rPr>
        <w:t>Expenses; Indemnity; Damage Waiver</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left"/>
              <w:rPr/>
            </w:pPr>
            <w:r>
              <w:rPr>
                <w:u w:val="single"/>
              </w:rPr>
              <w:t>Costs and Expenses</w:t>
            </w:r>
            <w:r>
              <w:rPr/>
              <w:t>. The Loan Parties shall pay (i) all reasonable out-of-pocket expenses incurred by the Administrative Agent and the Arranger (including the reasonable fees, charges and disbursements counsel, which shall be limited to one firm of primary counsel for all such parties and no more than one local counsel in each jurisdiction where Collateral is located and in the jurisdiction in which any Foreign Borrower or any other Foreign Guarantor is organized),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reasonable out-of-pocket costs and expenses incurred by the Administrative Agent, any Lender or the L/C Issuer (including the reasonable fees, charges and disbursements of one firm of primary counsel for all such parties and, if reasonably necessary, no more than one local counsel in any relevant jurisdiction and, in the event of any conflict of interest, one additional primary counsel and one additional counsel in each relevant jurisdiction to each group of affected Lenders similarly situated, taken as a whole), in connection with the enforcement or protection of its rights (A) in connection with this Agreement and the other Loan Documents, including its rights under this</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or (B) in connection with Loans made or Letters of Credit issued hereunder, including all such reasonable out-of-pocket expenses incurred during any workout, restructuring or negotiations in respect of such Loans or Letters of Credit.</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(b)</w:t>
            </w:r>
          </w:p>
        </w:tc>
        <w:tc>
          <w:tcPr>
            <w:tcW w:w="9951" w:type="dxa"/>
            <w:tcBorders/>
            <w:vAlign w:val="center"/>
          </w:tcPr>
          <w:p>
            <w:pPr>
              <w:pStyle w:val="TableContents"/>
              <w:bidi w:val="0"/>
              <w:spacing w:before="0" w:after="283"/>
              <w:jc w:val="left"/>
              <w:rPr/>
            </w:pPr>
            <w:r>
              <w:rPr>
                <w:u w:val="single"/>
              </w:rPr>
              <w:t>Indemnification by the Loan Parties</w:t>
            </w:r>
            <w:r>
              <w:rPr/>
              <w:t>. The Loan Parties shall indemnify the Administrative Agent (and any sub-agent thereof), each Lender and the L/C Issuer, and each Related Party of any of the foregoing Persons (each such Person being called an “</w:t>
            </w:r>
            <w:r>
              <w:rPr>
                <w:u w:val="single"/>
              </w:rPr>
              <w:t>Indemnitee</w:t>
            </w:r>
            <w:r>
              <w:rPr/>
              <w:t>”) against, and hold each Indemnitee harmless from, any and all losses, claims, damages, liabilities and related expenses (including the settlement costs and reasonable fees, charges and disbursements of one firm of external counsel and one firm of local counsel in each appropriate jurisdiction for all Indemnitees taken as a whole, and solely in the case of a conflict of interest, one additional primary counsel and one additional counsel in each relevant jurisdiction to each group of affected Indemnitees similarly situated, taken as a whole), incurred by any Indemnitee or asserted against any Indemnitee by any Person (including any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Section 3.01),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presence or release of Hazardous Materials on or from any property owned or operated by a Loan Party or any of its Subsidiaries, or any Environmental Liability related in any way to a Loan Party or any of its Subsidiaries, or (iv) any actual claim, litigation, investigation or proceeding relating to any of the foregoing, whether based on contract, tort or any other theory, whether brought by a third party or by a Borrower or any other Loan Party or any of such Borrower’s or such Loan Party’s directors, shareholders or creditors, and regardless of whether any Indemnitee is a party thereto</w:t>
            </w:r>
            <w:r>
              <w:rPr>
                <w:b/>
                <w:caps/>
              </w:rPr>
              <w:t>, in all cases, whether or not caused by or arising, in whole or in part, out of the comparative, contributory or sole negligence of the Indemnitee</w:t>
            </w:r>
            <w:r>
              <w:rPr/>
              <w:t xml:space="preserve">; </w:t>
            </w:r>
            <w:r>
              <w:rPr>
                <w:u w:val="single"/>
              </w:rPr>
              <w:t>provided</w:t>
            </w:r>
            <w:r>
              <w:rPr/>
              <w:t xml:space="preserve"> that such indemnity shall not, as to any Indemnitee, be available to the extent that such losses, claims, damages, liabilities or related expenses (x) are determined by a court of competent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by final and nonappealable judgment to have resulted from the gross negligence or willful misconduct of such Indemnitee or arose out of any claim or (y) arise from any proceeding that does not involve an action or omission by any Loan Party or any of their Affiliates that is brought by an Indemnitee against another Indemnitee (other than any claims against any Indemnitee in its capacity or in fulfilling its role as an administrative agent, collateral agent, arranger or any similar role under the Revolving Facility); and provided, further, that the Foreign Loan Parties shall not be liable for any such indemnification to the extent such losses, claims, damages, liabilities and related expenses arise out of, are in connection with, or result from, acts or omissions of, Loans or Letters of Credit issued to, or the obligations under the Loan Documents of, any Domestic Loan Party or any Domestic Subsidiary. Without limiting the provisions of Section 3.01(c), this Section 11.04(b) shall not apply with respect to Taxes other than any Taxes that represent losses, claims, damages, etc. arising from any non-Tax claim.</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(c)</w:t>
            </w:r>
          </w:p>
        </w:tc>
        <w:tc>
          <w:tcPr>
            <w:tcW w:w="9964" w:type="dxa"/>
            <w:tcBorders/>
            <w:vAlign w:val="center"/>
          </w:tcPr>
          <w:p>
            <w:pPr>
              <w:pStyle w:val="TableContents"/>
              <w:bidi w:val="0"/>
              <w:spacing w:before="0" w:after="283"/>
              <w:jc w:val="left"/>
              <w:rPr/>
            </w:pPr>
            <w:r>
              <w:rPr>
                <w:u w:val="single"/>
              </w:rPr>
              <w:t>Reimbursement by Lenders</w:t>
            </w:r>
            <w:r>
              <w:rPr/>
              <w:t xml:space="preserve">. To the extent that the Loan Parties for any reason fail to indefeasibly pay any amount required under subsection (a) or (b) of this Section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u w:val="single"/>
              </w:rPr>
              <w:t>provided, further</w:t>
            </w:r>
            <w:r>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subsection (c) are subject to the provisions of Section 2.12(d).</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7" w:type="dxa"/>
            <w:tcBorders/>
            <w:vAlign w:val="center"/>
          </w:tcPr>
          <w:p>
            <w:pPr>
              <w:pStyle w:val="TableContents"/>
              <w:bidi w:val="0"/>
              <w:spacing w:before="0" w:after="283"/>
              <w:jc w:val="left"/>
              <w:rPr/>
            </w:pPr>
            <w:r>
              <w:rPr>
                <w:u w:val="single"/>
              </w:rPr>
              <w:t>Waiver of Consequential Damages, Etc</w:t>
            </w:r>
            <w:r>
              <w:rPr/>
              <w:t>.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(e)</w:t>
            </w:r>
          </w:p>
        </w:tc>
        <w:tc>
          <w:tcPr>
            <w:tcW w:w="9906" w:type="dxa"/>
            <w:tcBorders/>
            <w:vAlign w:val="center"/>
          </w:tcPr>
          <w:p>
            <w:pPr>
              <w:pStyle w:val="TableContents"/>
              <w:bidi w:val="0"/>
              <w:spacing w:before="0" w:after="283"/>
              <w:jc w:val="left"/>
              <w:rPr/>
            </w:pPr>
            <w:r>
              <w:rPr>
                <w:u w:val="single"/>
              </w:rPr>
              <w:t>Payments</w:t>
            </w:r>
            <w:r>
              <w:rPr/>
              <w:t>. All amounts due under this Section shall be payable not later than ten (10) Business Days after demand therefor.</w:t>
            </w:r>
          </w:p>
        </w:tc>
      </w:tr>
    </w:tbl>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left"/>
              <w:rPr/>
            </w:pPr>
            <w:r>
              <w:rPr>
                <w:u w:val="single"/>
              </w:rPr>
              <w:t>Survival</w:t>
            </w:r>
            <w:r>
              <w:rPr/>
              <w:t>. The agreements in this Section and the indemnity provisions of Section 11.02(e) shall survive the resignation of the Administrative Agent, the L/C Issuer and the Swingline Lender, the replacement of any Lender, the termination of the Aggregate Commitments and the repayment, satisfaction or discharge of all the other Obligations.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90.04      </w:t>
      </w:r>
      <w:r>
        <w:rPr>
          <w:rFonts w:ascii="Times New Roman;Times;Serif" w:hAnsi="Times New Roman;Times;Serif"/>
          <w:b/>
          <w:i w:val="false"/>
          <w:caps w:val="false"/>
          <w:smallCaps w:val="false"/>
          <w:sz w:val="20"/>
          <w:u w:val="single"/>
        </w:rPr>
        <w:t>Payments Set Aside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payment by or on behalf of any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90.05     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left"/>
              <w:rPr/>
            </w:pPr>
            <w:r>
              <w:rPr>
                <w:u w:val="single"/>
              </w:rPr>
              <w:t>Successors and Assigns Generally</w:t>
            </w:r>
            <w:r>
              <w:rPr/>
              <w:t>. The provisions of this Agreement and the other Loan Documents shall be binding upon and inure to the benefit of the parties hereto and thereto and their respective successors and assigns permitted hereby, except neither the Borrowers nor any other Loan Party may assign or otherwise transfer any of its rights or obligations hereunder without the prior written consent of the Administrative Agent and each Lender and no Lender may assign or otherwise transfer any of its</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u w:val="single"/>
              </w:rPr>
              <w:t>Assignments by Lenders</w:t>
            </w:r>
            <w:r>
              <w:rPr/>
              <w:t>. Any Lender may at any time assign (or assign and transfer by assumption of contract (</w:t>
            </w:r>
            <w:r>
              <w:rPr>
                <w:i/>
              </w:rPr>
              <w:t>Vertragsübernahme</w:t>
            </w:r>
            <w:r>
              <w:rPr/>
              <w:t xml:space="preserve">)) to one or more assignees all or a portion of its rights and obligations under this Agreement and the other Loan Documents (including all or a portion of its Revolving Commitment(s) and the Loans (including for purposes of this subsection (b), participations in L/C Obligations and in Swingline Loans) at the time owing to it); </w:t>
            </w:r>
            <w:r>
              <w:rPr>
                <w:u w:val="single"/>
              </w:rPr>
              <w:t>provided</w:t>
            </w:r>
            <w:r>
              <w:rPr/>
              <w:t xml:space="preserve"> that any such assignment, other than an assignment by the Agent pursuant to </w:t>
            </w:r>
            <w:r>
              <w:rPr>
                <w:u w:val="single"/>
              </w:rPr>
              <w:t>Section 9.09(iii)</w:t>
            </w:r>
            <w:r>
              <w:rPr/>
              <w:t>, shall be subject to the following conditions:</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XCI </w:t>
      </w:r>
      <w:r>
        <w:rPr>
          <w:rFonts w:ascii="Times New Roman;Times;Serif" w:hAnsi="Times New Roman;Times;Serif"/>
          <w:b w:val="false"/>
          <w:i w:val="false"/>
          <w:caps w:val="false"/>
          <w:smallCaps w:val="false"/>
          <w:sz w:val="20"/>
          <w:u w:val="single"/>
        </w:rPr>
        <w:t>Minimum Amounts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(A)</w:t>
            </w:r>
          </w:p>
        </w:tc>
        <w:tc>
          <w:tcPr>
            <w:tcW w:w="9880" w:type="dxa"/>
            <w:tcBorders/>
            <w:vAlign w:val="center"/>
          </w:tcPr>
          <w:p>
            <w:pPr>
              <w:pStyle w:val="TableContents"/>
              <w:bidi w:val="0"/>
              <w:spacing w:before="0" w:after="283"/>
              <w:jc w:val="left"/>
              <w:rPr/>
            </w:pPr>
            <w:r>
              <w:rPr/>
              <w:t>in the case of an assignment of the entire remaining amount of the assigning Lender’s Revolving Commitment and/or the Loans at the time owing to it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tc>
      </w:tr>
    </w:tbl>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left"/>
              <w:rPr/>
            </w:pPr>
            <w:r>
              <w:rPr/>
              <w:t>in any case not described in subsection (b)(i)(A) of this Section, the aggregate amount of the Revolving Commitment (which for this purpose includes Loans outstanding thereunder) or, if the Revolving Commitments are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and, so long as no Event of Default has occurred and is continuing, the Borrowers otherwise consent (each such consent not to be unreasonably withheld or delayed).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XCII </w:t>
      </w:r>
      <w:r>
        <w:rPr>
          <w:rFonts w:ascii="Times New Roman;Times;Serif" w:hAnsi="Times New Roman;Times;Serif"/>
          <w:b w:val="false"/>
          <w:i w:val="false"/>
          <w:caps w:val="false"/>
          <w:smallCaps w:val="false"/>
          <w:sz w:val="20"/>
          <w:u w:val="single"/>
        </w:rPr>
        <w:t>Proportionate Amounts</w:t>
      </w:r>
      <w:r>
        <w:rPr>
          <w:rFonts w:ascii="Times New Roman;Times;Serif" w:hAnsi="Times New Roman;Times;Serif"/>
          <w:b w:val="false"/>
          <w:i w:val="false"/>
          <w:caps w:val="false"/>
          <w:smallCaps w:val="false"/>
          <w:sz w:val="20"/>
        </w:rPr>
        <w:t>. Each partial assignment shall be made as an assignment of a proportionate part of all the assigning Lender’s rights and obligations under this Agreement and the other Loan Documents with respect to the Loans and/or the Revolving Commitment assigned, except that this clause (ii) shall not apply to the Swingline Lender’s rights and obligations in respect of Swingline Loans.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XCIII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 No consent shall be required for any assignment except to the extent required by subsection (b)(i)(B) of this Section and, in addition:</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(A)</w:t>
            </w:r>
          </w:p>
        </w:tc>
        <w:tc>
          <w:tcPr>
            <w:tcW w:w="9889" w:type="dxa"/>
            <w:tcBorders/>
            <w:vAlign w:val="center"/>
          </w:tcPr>
          <w:p>
            <w:pPr>
              <w:pStyle w:val="TableContents"/>
              <w:bidi w:val="0"/>
              <w:spacing w:before="0" w:after="283"/>
              <w:jc w:val="left"/>
              <w:rPr/>
            </w:pPr>
            <w:r>
              <w:rPr/>
              <w:t xml:space="preserve">the consent of the Borrowers (such consent not to be unreasonably withheld or delayed) shall be required unless (1) an Event of Default has occurred and is continuing at the time of such assignment or (2) such assignment is to a Lender, an Affiliate of a Lender or an Approved Fund (if such entity is a Swiss Qualifying Bank); provided, that the Borrowers shall be deemed to have consented to any such assignment unless they shall object thereto by written notice to the Administrative Agent within ten (10) Business Days after having received the request for such consent (unless the assignment or assignment and transfer by assumption of contract would result in a violation of the Swiss 10 Non-Bank Rule, in which case the Borrowers shall be required to provide their affirmative consent); </w:t>
            </w:r>
            <w:r>
              <w:rPr>
                <w:i/>
              </w:rPr>
              <w:t>provided</w:t>
            </w:r>
            <w:r>
              <w:rPr/>
              <w:t>, further, that (x) it shall not be deemed unreasonable for the Borrowers to withhold their consent if the assignment or assignment and transfer by assumption of contract would result in a violation of the Swiss 10 Non-Bank Rule and (y) the Borrowers may not withhold their consent solely by reason of the Swiss 10 Non-Bank Rule if after giving effect to the proposed assignment or and assignment and transfer by assumption of contract (</w:t>
            </w:r>
            <w:r>
              <w:rPr>
                <w:i/>
              </w:rPr>
              <w:t>Vertragsübernahme</w:t>
            </w:r>
            <w:r>
              <w:rPr/>
              <w:t>) there will be 10 or less Swiss Non-Qualifying Banks in aggregate under this Agreement;</w:t>
            </w:r>
          </w:p>
        </w:tc>
      </w:tr>
    </w:tbl>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283"/>
              <w:jc w:val="left"/>
              <w:rPr/>
            </w:pPr>
            <w:r>
              <w:rPr/>
              <w:t>the consent of the Administrative Agent (such consent not to be unreasonably withheld or delayed) shall be required for assignments in respect of any Revolving Commitment if such assignment is to a Person that is not a Lender with a Revolving Commitment, an Affiliate of such Lender or an Approved Fund with respect to such Lender; and</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(C)</w:t>
            </w:r>
          </w:p>
        </w:tc>
        <w:tc>
          <w:tcPr>
            <w:tcW w:w="9849" w:type="dxa"/>
            <w:tcBorders/>
            <w:vAlign w:val="center"/>
          </w:tcPr>
          <w:p>
            <w:pPr>
              <w:pStyle w:val="TableContents"/>
              <w:bidi w:val="0"/>
              <w:spacing w:before="0" w:after="283"/>
              <w:jc w:val="left"/>
              <w:rPr/>
            </w:pPr>
            <w:r>
              <w:rPr/>
              <w:t>the consent of the L/C Issuer and the Swingline Lender shall be required for any assignment in respect of the Revolving Facility.</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XCIV </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The parties to each assignment shall execute and deliver to the Administrative Agent an Assignment and Assumption, together with a processing and recordation fee in the amount of $3,500;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XCV </w:t>
      </w:r>
      <w:r>
        <w:rPr>
          <w:rFonts w:ascii="Times New Roman;Times;Serif" w:hAnsi="Times New Roman;Times;Serif"/>
          <w:b w:val="false"/>
          <w:i w:val="false"/>
          <w:caps w:val="false"/>
          <w:smallCaps w:val="false"/>
          <w:sz w:val="20"/>
          <w:u w:val="single"/>
        </w:rPr>
        <w:t>No Assignment to Certain Persons</w:t>
      </w:r>
      <w:r>
        <w:rPr>
          <w:rFonts w:ascii="Times New Roman;Times;Serif" w:hAnsi="Times New Roman;Times;Serif"/>
          <w:b w:val="false"/>
          <w:i w:val="false"/>
          <w:caps w:val="false"/>
          <w:smallCaps w:val="false"/>
          <w:sz w:val="20"/>
        </w:rPr>
        <w:t>. No such assignment shall be made (A) to any Borrower or any of the Borrowers’ Affiliates 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XCVI </w:t>
      </w:r>
      <w:r>
        <w:rPr>
          <w:rFonts w:ascii="Times New Roman;Times;Serif" w:hAnsi="Times New Roman;Times;Serif"/>
          <w:b w:val="false"/>
          <w:i w:val="false"/>
          <w:caps w:val="false"/>
          <w:smallCaps w:val="false"/>
          <w:sz w:val="20"/>
          <w:u w:val="single"/>
        </w:rPr>
        <w:t>Certain Additional Payments</w:t>
      </w:r>
      <w:r>
        <w:rPr>
          <w:rFonts w:ascii="Times New Roman;Times;Serif" w:hAnsi="Times New Roman;Times;Serif"/>
          <w:b w:val="false"/>
          <w:i w:val="false"/>
          <w:caps w:val="false"/>
          <w:smallCaps w:val="false"/>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and 11.04 with respect to facts and circumstances occurring prior to the effective date of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except to the extent otherwise expressly agreed by the affected parties, no</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u w:val="single"/>
              </w:rPr>
              <w:t>Register</w:t>
            </w:r>
            <w:r>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Revolving Commitments of, and principal amounts (and stated interest) of the Loans and L/C Obligations owing to, each Lender pursuant to the terms hereof from time to time (the “</w:t>
            </w:r>
            <w:r>
              <w:rPr>
                <w:u w:val="single"/>
              </w:rPr>
              <w:t>Register</w:t>
            </w:r>
            <w:r>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(with respect to such Lender’s interest only), at any reasonable time and from time to time upon reasonable prior notice.</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left"/>
              <w:rPr/>
            </w:pPr>
            <w:r>
              <w:rPr>
                <w:u w:val="single"/>
              </w:rPr>
              <w:t>Participations</w:t>
            </w:r>
            <w:r>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a Defaulting Lender or any Borrower or any of the Borrowers’ Affiliates or Subsidiaries) (each, a “</w:t>
            </w:r>
            <w:r>
              <w:rPr>
                <w:u w:val="single"/>
              </w:rPr>
              <w:t>Participant</w:t>
            </w:r>
            <w:r>
              <w:rPr/>
              <w:t xml:space="preserve">”) in all or a portion of such Lender’s rights and/or obligations under this Agreement (including all or a portion of its Revolving Commitment and/or the Loans (including such Lender’s participations in L/C Obligations and/or Swingline Loans) owing to it); </w:t>
            </w:r>
            <w:r>
              <w:rPr>
                <w:u w:val="single"/>
              </w:rPr>
              <w:t>provided</w:t>
            </w:r>
            <w:r>
              <w:rPr/>
              <w:t xml:space="preserve"> that (i) such Lender’s obligations under this Agreement shall remain unchanged; (ii) such Lender shall remain solely responsible to the other parties hereto for the performance of such obligations; (iii) the Borrowers, the Administrative Agent, the Lenders and the L/C Issuer shall continue to deal solely and directly with such Lender in connection with such Lender’s rights and obligations under this Agreement; (iv) the relationship between the Lender and that other person is that of a debtor and creditor (including in the bankruptcy or similar event of the Lender or a Loan Party; (v) the Participant will have no proprietary interest in the benefit of this Agreement or in any monies received by the Lender under or in relation to this Agreement; and (vi) the Participant will under no circumstances (other than permitted transfers and assignments under paragraph (b)(iii) of this Section 11.06) be subrogated to, or substituted in respect of, the Lender’s claims under this Agreement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otherwise have any contractual relationship with, or rights against, the Borrowers under or in relation to this Agreement. For the avoidance of doubt, each Lender shall be responsible for the indemnity under Section 11.04(c) without regard to the existence of any participations. Without prejudice to any other provisions of this this Section 11.06, the restrictions set out in paragraphs (iv), (v) and (vi) above shall cease to apply if the Borrowers (acting reasonably) are satisfied that exposure transfers (which do not meet the conditions set out in paragraphs (iv), (v) and (vi) above) do not result in any negative Swiss Withholding Tax consequences (in each case as a result of (1) receipt a tax ruling of the Swiss Federal Tax Administration and/or (2) a material change of the Swiss Non-Bank-Rules).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waiver or other modification described in the first proviso to Section 11.01 that affects such Participant. The Borrowers agree that each Participant shall be entitled to the benefits of Sections 3.01, 3.04 and 3.05 (subject to the requirements and limitations therein, including the requirements under Section 3.01(e) (it being understood that the documentation required under Section 3.01(e) shall be delivered to the Lender who sells the participation)) to the same extent as if it were a Lender and had acquired its interest by assignment pursuant to paragraph (b)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Sections 3.06 and 11.13 as if it were an assignee under paragraph (b) of this Section and (B) shall not be entitled to receive any greater payment under Sections 3.01 or 3.04,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Section 3.06 with respect to any Participant. To the extent permitted by law, each Participant also shall be entitled to the benefits of Section 11.08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agrees to be subject to Section 2.13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(in its capacity as Administrative Agent) shall have no responsibility for maintaining a Participant Register.</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left"/>
              <w:rPr/>
            </w:pPr>
            <w:r>
              <w:rPr>
                <w:u w:val="single"/>
              </w:rPr>
              <w:t>Certain Pledges</w:t>
            </w:r>
            <w:r>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u w:val="single"/>
              </w:rPr>
              <w:t>provided</w:t>
            </w:r>
            <w:r>
              <w:rPr/>
              <w:t xml:space="preserve"> that no such pledge or assignment shall release such Lender from any of its obligations hereunder or substitute any such pledgee or assignee for such Lender as a party hereto.</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left"/>
              <w:rPr/>
            </w:pPr>
            <w:r>
              <w:rPr>
                <w:u w:val="single"/>
              </w:rPr>
              <w:t>Resignation as L/C Issuer or Swingline Lender after Assignment</w:t>
            </w:r>
            <w:r>
              <w:rPr/>
              <w:t xml:space="preserve">. Notwithstanding anything to the contrary contained herein, if at any time Bank of America assigns all of its Revolving Commitment and Revolving Loans pursuant to subsection (b) above, Bank of America may, (i) upon thirty (30) days’ notice to the Borrowers and the Lenders, resign as L/C Issuer and/or (ii) upon thirty (30) days’ notice to the Borrowers, resign as Swingline Lender. In the event of any such resignation as L/C Issuer or Swingline Lender, the Borrowers shall be entitled to appoint from among the Lenders a successor L/C Issuer or Swingline Lender hereunder; </w:t>
            </w:r>
            <w:r>
              <w:rPr>
                <w:u w:val="single"/>
              </w:rPr>
              <w:t>provided</w:t>
            </w:r>
            <w:r>
              <w:rPr/>
              <w:t xml:space="preserve">, </w:t>
            </w:r>
            <w:r>
              <w:rPr>
                <w:u w:val="single"/>
              </w:rPr>
              <w:t>however</w:t>
            </w:r>
            <w:r>
              <w:rPr/>
              <w:t>, that no failure by the Borrowers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Section 2.03(c)).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96.02      </w:t>
      </w:r>
      <w:r>
        <w:rPr>
          <w:rFonts w:ascii="Times New Roman;Times;Serif" w:hAnsi="Times New Roman;Times;Serif"/>
          <w:b/>
          <w:i w:val="false"/>
          <w:caps w:val="false"/>
          <w:smallCaps w:val="false"/>
          <w:sz w:val="20"/>
          <w:u w:val="single"/>
        </w:rPr>
        <w:t>Treatment of Certain Information; Confidentiality</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left"/>
              <w:rPr/>
            </w:pPr>
            <w:r>
              <w:rPr>
                <w:u w:val="single"/>
              </w:rPr>
              <w:t>Treatment of Certain Information</w:t>
            </w:r>
            <w:r>
              <w:rPr/>
              <w:t>. Each of the Administrative Agent, the Lenders and the L/C Issuer agrees to maintain the confidentiality of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(as defined below), except that Information may be disclosed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any Eligible Assignee invited to be a Lender pursuant to Section 2.16(c) or (B) any actual or prospective party (or its Related Parties) to any swap, derivative or other transaction under which payments are to be made by reference to the Borrowers and their obligations, this Agreement or payments hereunder, (vii) on a confidential basis to (A) any rating agency in connection with rating the Borrowers or their Subsidiaries or the Revolving Facility, (B) the provider of any Platform or other electronic delivery service used by the Administrative Agent, the L/C Issuer and/or the Swingline Lender to deliver Borrower Materials or notices to the Lenders or (C) the CUSIP Service Bureau or any similar agency in connection with the issuance and monitoring of CUSIP numbers or other market identifiers with respect to the Revolving Facility, (viii) with the consent of the Borrowers or to the extent such Information (1) becomes publicly available other than as a result of a breach of this Section or (2) becomes available to the Administrative Agent, any Lender, the L/C Issuer or any of their respective Affiliates on a nonconfidential basis from a source other than the Borrowers or (ix) is independently discovered or developed by a party hereto without utilizing any Information received from the Borrowers or violating the terms of this Section 11.07. For purposes of this Section,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means all information received from the Borrowers or any Subsidiary relating to any Borrower or any Subsidiary or any of their respective businesses, other than any such information that is available to the Administrative Agent, any Lender or the L/C Issuer on a nonconfidential basis prior to disclosure by the Borrowers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information received from the Borrowers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Revolving Commitments. </w:t>
      </w:r>
      <w:r>
        <w:rPr>
          <w:rFonts w:ascii="Times New Roman;Times;Serif" w:hAnsi="Times New Roman;Times;Serif"/>
          <w:b w:val="false"/>
          <w:i w:val="false"/>
          <w:caps w:val="false"/>
          <w:smallCaps w:val="false"/>
          <w:color w:val="0000FF"/>
          <w:sz w:val="20"/>
          <w:u w:val="single"/>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u w:val="single"/>
              </w:rPr>
              <w:t>Non-Public Information</w:t>
            </w:r>
            <w:r>
              <w:rPr/>
              <w:t>. 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tc>
      </w:tr>
    </w:tbl>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left"/>
              <w:rPr/>
            </w:pPr>
            <w:r>
              <w:rPr>
                <w:u w:val="single"/>
              </w:rPr>
              <w:t>Press Releases</w:t>
            </w:r>
            <w:r>
              <w:rPr/>
              <w:t>. The Loan Parties agree that they and their Affiliates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tc>
      </w:tr>
    </w:tbl>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left"/>
              <w:rPr/>
            </w:pPr>
            <w:r>
              <w:rPr>
                <w:u w:val="single"/>
              </w:rPr>
              <w:t>Customary Advertising Material</w:t>
            </w:r>
            <w:r>
              <w:rPr/>
              <w:t>. The Loan Parties consent to the publication by the Administrative Agent or any Lender of customary advertising material relating to the transactions contemplated hereby using the name, product photographs, logo or trademark of the Loan Parties.</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96.03      </w:t>
      </w:r>
      <w:r>
        <w:rPr>
          <w:rFonts w:ascii="Times New Roman;Times;Serif" w:hAnsi="Times New Roman;Times;Serif"/>
          <w:b/>
          <w:i w:val="false"/>
          <w:caps w:val="false"/>
          <w:smallCaps w:val="false"/>
          <w:sz w:val="20"/>
          <w:u w:val="single"/>
        </w:rPr>
        <w:t>Right of Setoff</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have occurred and be continuing, each Lender, the L/C Issuer and each of their respective Affiliates is hereby authorized at any time and from time to time, after obtaining the prior written consent of the Administrative Agent (such consent not to be unreasonably delayed or withheld),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each Borrower or such Loan Party now or hereafter owing to such Lender or the L/C Issuer or their respective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Affiliates, irrespective of whether or not such Lender, the L/C Issuer or Affiliate shall have made any demand under this Agreement or any other Loan Document and although such Obligations of each Borrower or such Loan Party may be contingent or unmatured, secured or unsecured, or are owed to a branch, office or Affiliate of such Lender or the L/C Issuer different from the branch, office or Affiliate holding such deposit or obligated on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(a) all amounts so set off shall be paid over immediately to the Administrative Agent for further application in accordance with the provisions of Section 2.15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deposits or other assets of any Foreign Loan Party shall be set off against or applied to any Obligations of any Domestic Loan Party or any Domestic Subsidiary.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Parent and the Administrative Agent promptly after any such setoff and application, provided that the failure to give such notice shall not affect the validity of such setoff and application.</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96.04      </w:t>
      </w:r>
      <w:r>
        <w:rPr>
          <w:rFonts w:ascii="Times New Roman;Times;Serif" w:hAnsi="Times New Roman;Times;Serif"/>
          <w:b/>
          <w:i w:val="false"/>
          <w:caps w:val="false"/>
          <w:smallCaps w:val="false"/>
          <w:sz w:val="20"/>
          <w:u w:val="single"/>
        </w:rPr>
        <w:t>Interest Rate Limitation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If the Administrative Agent or any Lender shall receive interest in an amount that exceeds the Maximum Rate, the excess interest shall be applied to the principal of the Loans or, if it exceeds such unpaid principal, refunded to the applicable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96.05      </w:t>
      </w:r>
      <w:r>
        <w:rPr>
          <w:rFonts w:ascii="Times New Roman;Times;Serif" w:hAnsi="Times New Roman;Times;Serif"/>
          <w:b/>
          <w:i w:val="false"/>
          <w:caps w:val="false"/>
          <w:smallCaps w:val="false"/>
          <w:strike/>
          <w:color w:val="FF0000"/>
          <w:sz w:val="20"/>
          <w:u w:val="single"/>
        </w:rPr>
        <w:t xml:space="preserve">Counterparts; </w:t>
      </w:r>
      <w:r>
        <w:rPr>
          <w:rFonts w:ascii="Times New Roman;Times;Serif" w:hAnsi="Times New Roman;Times;Serif"/>
          <w:b/>
          <w:i w:val="false"/>
          <w:caps w:val="false"/>
          <w:smallCaps w:val="false"/>
          <w:sz w:val="20"/>
          <w:u w:val="single"/>
        </w:rPr>
        <w:t>Integration; Effectiveness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w:t>
      </w:r>
      <w:r>
        <w:rPr>
          <w:rFonts w:ascii="Times New Roman;Times;Serif" w:hAnsi="Times New Roman;Times;Serif"/>
          <w:b w:val="false"/>
          <w:i w:val="false"/>
          <w:caps w:val="false"/>
          <w:smallCaps w:val="false"/>
          <w:sz w:val="20"/>
        </w:rPr>
        <w:t xml:space="preserve">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this Agreement shall become effective when it shall have been executed by the Administrative Agent and when the Administrative Agent shall have received counterparts hereof that, when taken</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together, bear the signatures of each of the other parties hereto, and thereafter shall be binding upon and inure to the benefit of the parties hereto and their respective successors and permitted assigns. </w:t>
      </w:r>
      <w:r>
        <w:rPr>
          <w:rFonts w:ascii="Times New Roman;Times;Serif" w:hAnsi="Times New Roman;Times;Serif"/>
          <w:b w:val="false"/>
          <w:i w:val="false"/>
          <w:caps w:val="false"/>
          <w:smallCaps w:val="false"/>
          <w:strike/>
          <w:color w:val="FF0000"/>
          <w:sz w:val="20"/>
        </w:rPr>
        <w:t>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96.06      </w:t>
      </w:r>
      <w:r>
        <w:rPr>
          <w:rFonts w:ascii="Times New Roman;Times;Serif" w:hAnsi="Times New Roman;Times;Serif"/>
          <w:b/>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96.07     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96.08      </w:t>
      </w:r>
      <w:r>
        <w:rPr>
          <w:rFonts w:ascii="Times New Roman;Times;Serif" w:hAnsi="Times New Roman;Times;Serif"/>
          <w:b/>
          <w:i w:val="false"/>
          <w:caps w:val="false"/>
          <w:smallCaps w:val="false"/>
          <w:sz w:val="20"/>
          <w:u w:val="single"/>
        </w:rPr>
        <w:t>Replacement of Lenders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left"/>
              <w:rPr/>
            </w:pPr>
            <w:r>
              <w:rPr/>
              <w:t>If the Borrowers are entitled to replace a Lender pursuant to the provisions of Section 3.06, or if any Lender is a Defaulting Lender or a Non-Consenting Lender or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restrictions contained in, and consents required by, Section 11.06),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XCVII </w:t>
      </w:r>
      <w:r>
        <w:rPr>
          <w:rFonts w:ascii="Times New Roman;Times;Serif" w:hAnsi="Times New Roman;Times;Serif"/>
          <w:b w:val="false"/>
          <w:i w:val="false"/>
          <w:caps w:val="false"/>
          <w:smallCaps w:val="false"/>
          <w:sz w:val="20"/>
        </w:rPr>
        <w:t>the Domestic Borrowers shall have paid (or caused a Designated Borrower to pay) to the Administrative Agent the assignment fee (if any) specified in Section 11.06(b);</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XCVIII </w:t>
      </w:r>
      <w:r>
        <w:rPr>
          <w:rFonts w:ascii="Times New Roman;Times;Serif" w:hAnsi="Times New Roman;Times;Serif"/>
          <w:b w:val="false"/>
          <w:i w:val="false"/>
          <w:caps w:val="false"/>
          <w:smallCaps w:val="false"/>
          <w:sz w:val="20"/>
        </w:rPr>
        <w:t>such Lender shall have received payment of an amount equal to 100% of the outstanding principal of its Loans and L/C Advances, accrued interest thereon, accrued fees and all other amounts payable to it hereunder and under the other Loan Documents (including any amounts under Section 3.05) from the assignee (to the extent of such outstanding principal and accrued interest and fees) or the applicable Borrowers or applicable Designated Borrower (in the case of all other amounts);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XCIX </w:t>
      </w:r>
      <w:r>
        <w:rPr>
          <w:rFonts w:ascii="Times New Roman;Times;Serif" w:hAnsi="Times New Roman;Times;Serif"/>
          <w:b w:val="false"/>
          <w:i w:val="false"/>
          <w:caps w:val="false"/>
          <w:smallCaps w:val="false"/>
          <w:sz w:val="20"/>
        </w:rPr>
        <w:t>in the case of any such assignment resulting from a claim for compensation under Section 3.04 or payments required to be made pursuant to Section 3.01, such assignment will result in a reduction in such compensation or payments thereafter;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C</w:t>
      </w:r>
      <w:r>
        <w:rPr>
          <w:rFonts w:ascii="Times New Roman;Times;Serif" w:hAnsi="Times New Roman;Times;Serif"/>
          <w:b w:val="false"/>
          <w:i w:val="false"/>
          <w:caps w:val="false"/>
          <w:smallCaps w:val="false"/>
          <w:sz w:val="20"/>
        </w:rPr>
        <w:t xml:space="preserve"> such assignment does not conflict with applicable Laws; and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CI </w:t>
      </w:r>
      <w:r>
        <w:rPr>
          <w:rFonts w:ascii="Times New Roman;Times;Serif" w:hAnsi="Times New Roman;Times;Serif"/>
          <w:b w:val="false"/>
          <w:i w:val="false"/>
          <w:caps w:val="false"/>
          <w:smallCaps w:val="false"/>
          <w:sz w:val="20"/>
        </w:rPr>
        <w:t>in the case of an assignment resulting from a Lender becoming a Non-Consenting Lender, the applicable assignee shall have consented to the applicable amendment, waiver or consent.</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 Lender shall not be required to make any such assignment or delegation if, prior thereto, as a result of a waiver by such Lender or otherwise, the circumstances entitling the Borrowers to require such assignment and delegation cease to apply.</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left"/>
              <w:rPr/>
            </w:pPr>
            <w:r>
              <w:rPr/>
              <w:t>Each party hereto agrees that (i) an assignment required pursuant to this Section 11.13 may be effected pursuant to an Assignment and Assumption executed by the Borrowers, the Administrative Agent and the assignee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tc>
      </w:tr>
    </w:tbl>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left"/>
              <w:rPr/>
            </w:pPr>
            <w:r>
              <w:rPr/>
              <w:t>Notwithstanding anything in this Section 11.13 to the contrary, (A) any Lender that acts as an L/C Issuer may not be replaced hereunder at any time it has any Letter of Credit outstanding hereunder unless arrangements satisfactory to such Lender (including the furnishing of a backstop standby</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(B) the Lender that acts as the Administrative Agent may not be replaced hereunder except in accordance with the terms of Section 9.06.</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101.02  </w:t>
      </w:r>
      <w:r>
        <w:rPr>
          <w:rFonts w:ascii="Times New Roman;Times;Serif" w:hAnsi="Times New Roman;Times;Serif"/>
          <w:b/>
          <w:i w:val="false"/>
          <w:caps w:val="false"/>
          <w:smallCaps w:val="false"/>
          <w:sz w:val="20"/>
          <w:u w:val="single"/>
        </w:rPr>
        <w:t>Governing Law; Jurisdiction; Etc</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u w:val="single"/>
              </w:rPr>
              <w:t>GOVERNING LAW</w:t>
            </w:r>
            <w:r>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left"/>
              <w:rPr/>
            </w:pPr>
            <w:r>
              <w:rPr>
                <w:u w:val="single"/>
              </w:rPr>
              <w:t>SUBMISSION TO JURISDICTION</w:t>
            </w:r>
            <w:r>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NOTHING IN THIS AGREEMENT OR IN ANY OTHER LOAN DOCUMENT SHALL AFFECT ANY RIGHT THAT THE ADMINISTRATIVE AGENT, ANY LENDER OR THE L/C ISSUER MAY OTHERWISE HAVE TO BRING ANY ACTION OR PROCEEDING RELATING TO THIS AGREEMENT OR ANY OTHER LOAN DOCUMENT AGAINST THE BORROWERS OR ANY OTHER LOAN PARTY OR ITS PROPERTIES IN THE COURTS OF ANY JURISDICTION.</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left"/>
              <w:rPr/>
            </w:pPr>
            <w:r>
              <w:rPr>
                <w:u w:val="single"/>
              </w:rPr>
              <w:t>WAIVER OF VENUE</w:t>
            </w:r>
            <w:r>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tc>
      </w:tr>
    </w:tbl>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left"/>
              <w:rPr/>
            </w:pPr>
            <w:r>
              <w:rPr>
                <w:u w:val="single"/>
              </w:rPr>
              <w:t>SERVICE OF PROCESS</w:t>
            </w:r>
            <w:r>
              <w:rPr/>
              <w:t>. EACH PARTY HERETO IRREVOCABLY CONSENTS TO SERVICE OF PROCESS IN THE MANNER PROVIDED FOR NOTICES IN SECTION 11.02. NOTHING IN THIS AGREEMENT WILL AFFECT THE RIGHT OF ANY PARTY HERETO TO SERVE PROCESS IN ANY OTHER MANNER PERMITTED BY APPLICABLE LAW.</w:t>
            </w:r>
          </w:p>
        </w:tc>
      </w:tr>
    </w:tbl>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left"/>
              <w:rPr/>
            </w:pPr>
            <w:r>
              <w:rPr/>
              <w:t>IF A PERSON IS REPRESENTED BY AN ATTORNEY IN CONNECTION WITH THE SIGNING AND/OR EXECUTION OF THIS AGREEMENT OR ANY OTHER LOAN DOCUMENT, AND THE RELEVANT POWER OF ATTORNEY IS EXPRESSED TO BE GOVERNED BY DUTCH OR ANY OTHER LAW, THAT CHOICE OF LAW IS HEREBY ACCEPTED BY EACH OTHER PERSON, IN ACCORDANCE WITH ARTICLE 14 OF THE HAGUE CONVENTION ON THE LAW APPLICABLE TO AGENCY OF 14 MARCH 1978.</w:t>
            </w:r>
          </w:p>
        </w:tc>
      </w:tr>
    </w:tbl>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101.03 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101.04  </w:t>
      </w:r>
      <w:r>
        <w:rPr>
          <w:rFonts w:ascii="Times New Roman;Times;Serif" w:hAnsi="Times New Roman;Times;Serif"/>
          <w:b/>
          <w:i w:val="false"/>
          <w:caps w:val="false"/>
          <w:smallCaps w:val="false"/>
          <w:sz w:val="20"/>
          <w:u w:val="single"/>
        </w:rPr>
        <w:t>Subordination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 “</w:t>
      </w:r>
      <w:r>
        <w:rPr>
          <w:rFonts w:ascii="Times New Roman;Times;Serif" w:hAnsi="Times New Roman;Times;Serif"/>
          <w:b w:val="false"/>
          <w:i w:val="false"/>
          <w:caps w:val="false"/>
          <w:smallCaps w:val="false"/>
          <w:sz w:val="20"/>
          <w:u w:val="single"/>
        </w:rPr>
        <w:t>Subordinating Loan Party</w:t>
      </w:r>
      <w:r>
        <w:rPr>
          <w:rFonts w:ascii="Times New Roman;Times;Serif" w:hAnsi="Times New Roman;Times;Serif"/>
          <w:b w:val="false"/>
          <w:i w:val="false"/>
          <w:caps w:val="false"/>
          <w:smallCaps w:val="false"/>
          <w:sz w:val="20"/>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prior payment in full in cash of all Obligations. If the Administrative Agent so requests while an Event of Default shall have occurred and is continuing,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Event of Default has occurred and is continuing, the Loan Parties and the Secured Parties may make and receive payments with respect to Intercompany Debt;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event that any Loan Party receives any payment of any Intercompany Debt at a time when such payment is prohibited by this Section, such payment shall be held by such Loan Party, in trust for the benefit of, and shall be paid forthwith over and delivered, upon written request, to the Administrative Agent.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101.05  </w:t>
      </w:r>
      <w:r>
        <w:rPr>
          <w:rFonts w:ascii="Times New Roman;Times;Serif" w:hAnsi="Times New Roman;Times;Serif"/>
          <w:b/>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all aspects of each transaction contemplated hereby (including in connection with any amendment, waiver or other modification hereof or of any other Loan Document), each Borrower and each other Loan Party acknowledges and agrees, and acknowledges its Affiliates’ understanding, that: (a) (i) the arranging and other services regarding this Agreement provided by the Administrative Agent and any Affiliate thereof, the Arranger and the Lenders are arm’s-length commercial transactions between the Borrowers, each other Loan Party and their respective Affiliates, on the one hand, and the Administrative Agent and, as applicable, its Affiliates including the Arranger and the Lenders and their Affiliates (collectively, solely for purposes of this Section,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on the other hand, (ii) each of the Borrowers and the other Loan Parties has consulted its own legal, accounting, regulatory and tax advisors to the extent it has deemed appropriate, and (iii) each Borrower and each other Loan Party is capable of evaluating, and understands and accepts, the terms, risks and conditions of the transactions contemplated hereby and by the other Loan Documents; (b) (i) the Administrative Agent and its Affiliates including the Arranger and each Lender each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(ii) neither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any of its Affiliates including the Arranger nor any Lender has any obligation to the Borrowers, any other Loan Party or any of their respective Affiliates with respect to the transactions contemplated hereby except those obligations expressly set forth herein and in the other Loan Documents; and (c) the Administrative Agent and its Affiliates including the Arranger and the Lenders may be engaged in a broad range of transactions that involve interests that differ from those of the Borrowers, the other Loan Parties and their respective Affiliates, and neither the Administrative Agent, any of its Affiliates including the Arranger nor any Lender has any obligation to disclose any of such interests to the Borrowers, any other Loan Party or any of their respective Affiliates. To the fullest extent permitted by law, each of the Borrowers and each other Loan Party hereby waives and releases any claims that it may have against the Administrative Agent, any of its Affiliates including the Arranger or any Lender with respect to any breach or alleged breach of agency or fiduciary duty in connection with any aspect of any transactions contemplated hereby.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101.06  </w:t>
      </w:r>
      <w:r>
        <w:rPr>
          <w:rFonts w:ascii="Times New Roman;Times;Serif" w:hAnsi="Times New Roman;Times;Serif"/>
          <w:b/>
          <w:i w:val="false"/>
          <w:caps w:val="false"/>
          <w:smallCaps w:val="false"/>
          <w:sz w:val="20"/>
          <w:u w:val="single"/>
        </w:rPr>
        <w:t>Electronic Execution; Electronic Records; Counterparts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left"/>
              <w:rPr/>
            </w:pPr>
            <w:r>
              <w:rPr/>
              <w:t xml:space="preserve">This Agreement, any Loan Document and any other Communication, including Communications required to be in writing, may be in the form of an Electronic Record and may be executed using Electronic Signatures. Each of the Loan Parties and each of the Administrative Agent, the L/C Issuer, the Swingline Lender, and each Lender (as used in this </w:t>
            </w:r>
            <w:r>
              <w:rPr>
                <w:u w:val="single"/>
              </w:rPr>
              <w:t>Section 11.18</w:t>
            </w:r>
            <w:r>
              <w:rPr/>
              <w:t>, collectively, each a “</w:t>
            </w:r>
            <w:r>
              <w:rPr>
                <w:u w:val="single"/>
              </w:rPr>
              <w:t>Credit Party</w:t>
            </w:r>
            <w:r>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u w:val="single"/>
              </w:rPr>
              <w:t>Electronic Copy</w:t>
            </w:r>
            <w:r>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procedures approved by it; provided, further, without limiting the foregoing, (a) to the extent the Administrative Agent, L/C Issuer and/or Swingline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(b) upon the request of the Administrative Agent or any Credit Party, any Communication executed using an Electronic Signature shall be promptly followed by a manually executed counterpart.</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left"/>
              <w:rPr/>
            </w:pPr>
            <w:r>
              <w:rPr/>
              <w:t>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telecopy, emailed .pdf or any other electronic means). The Administrative Agent, Issuing Bank and Swingline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tc>
      </w:tr>
    </w:tbl>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left"/>
              <w:rPr/>
            </w:pPr>
            <w:r>
              <w:rPr/>
              <w:t>Each of the Loan Parties and each Credit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r>
              <w:rPr>
                <w:color w:val="0000FF"/>
                <w:u w:val="single"/>
              </w:rPr>
              <w:t>.</w:t>
            </w:r>
          </w:p>
        </w:tc>
      </w:tr>
    </w:tbl>
    <w:p>
      <w:pPr>
        <w:pStyle w:val="TextBody"/>
        <w:bidi w:val="0"/>
        <w:spacing w:before="0" w:after="240"/>
        <w:ind w:left="81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rPr>
        <w:t xml:space="preserve">(d)        </w:t>
      </w:r>
      <w:r>
        <w:rPr>
          <w:rFonts w:ascii="Times New Roman;Times;Serif" w:hAnsi="Times New Roman;Times;Serif"/>
          <w:b w:val="false"/>
          <w:i w:val="false"/>
          <w:caps w:val="false"/>
          <w:smallCaps w:val="false"/>
          <w:color w:val="0000FF"/>
          <w:sz w:val="20"/>
          <w:u w:val="single"/>
        </w:rPr>
        <w:t>Each of the parties represents and warrants to the other parties that it has the corporate capacity and authority to execute this Agreement and any other Communication through electronic means and there are no restrictions on doing so in that party’s constitutive documents.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101.07  </w:t>
      </w:r>
      <w:r>
        <w:rPr>
          <w:rFonts w:ascii="Times New Roman;Times;Serif" w:hAnsi="Times New Roman;Times;Serif"/>
          <w:b/>
          <w:i w:val="false"/>
          <w:caps w:val="false"/>
          <w:smallCaps w:val="false"/>
          <w:sz w:val="20"/>
          <w:u w:val="single"/>
        </w:rPr>
        <w:t>USA PATRIOT Act Notice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that is subject to the Act (as hereinafter defined) and the Administrative Agent (for itself and not on behalf of any Lender) hereby notifies the Borrowers and the other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Parties that pursuant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Borrowers and the Loan Parties agree to,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Act.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101.08  </w:t>
      </w:r>
      <w:r>
        <w:rPr>
          <w:rFonts w:ascii="Times New Roman;Times;Serif" w:hAnsi="Times New Roman;Times;Serif"/>
          <w:b/>
          <w:i w:val="false"/>
          <w:caps w:val="false"/>
          <w:smallCaps w:val="false"/>
          <w:sz w:val="20"/>
          <w:u w:val="single"/>
        </w:rPr>
        <w:t>Time of the Essence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is of the essence of the Loan Documents.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101.09 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OTHER LOAN DOCUMENTS REPRESENT THE FINAL AGREEMENT AMONG THE PARTIES AND MAY NOT BE CONTRADICTED BY EVIDENCE OF PRIOR, CONTEMPORANEOUS, OR SUBSEQUENT ORAL AGREEMENTS OF THE PARTIES. THE ARE NO UNWRITTEN ORAL AGREEMENTS AMONG THE PARTIES.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101.10  </w:t>
      </w:r>
      <w:r>
        <w:rPr>
          <w:rFonts w:ascii="Times New Roman;Times;Serif" w:hAnsi="Times New Roman;Times;Serif"/>
          <w:b/>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other than that in which such sum is denominated in accordance with the applicable provisions of this Agreement (the “</w:t>
      </w:r>
      <w:r>
        <w:rPr>
          <w:rFonts w:ascii="Times New Roman;Times;Serif" w:hAnsi="Times New Roman;Times;Serif"/>
          <w:b w:val="false"/>
          <w:i w:val="false"/>
          <w:caps w:val="false"/>
          <w:smallCaps w:val="false"/>
          <w:sz w:val="20"/>
          <w:u w:val="single"/>
        </w:rPr>
        <w:t>Agreement Currency</w:t>
      </w:r>
      <w:r>
        <w:rPr>
          <w:rFonts w:ascii="Times New Roman;Times;Serif" w:hAnsi="Times New Roman;Times;Serif"/>
          <w:b w:val="false"/>
          <w:i w:val="false"/>
          <w:caps w:val="false"/>
          <w:smallCaps w:val="false"/>
          <w:sz w:val="20"/>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101.11 </w:t>
      </w:r>
      <w:r>
        <w:rPr>
          <w:rFonts w:ascii="Times New Roman;Times;Serif" w:hAnsi="Times New Roman;Times;Serif"/>
          <w:b/>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left"/>
              <w:rPr/>
            </w:pPr>
            <w:r>
              <w:rPr/>
              <w:t>the application of any Write-Down and Conversion Powers by the applicable Resolution Authority to any such liabilities arising hereunder which may be payable to it by any Lender that is an Affected Financial Institution; and</w:t>
            </w:r>
          </w:p>
        </w:tc>
      </w:tr>
    </w:tbl>
    <w:tbl>
      <w:tblPr>
        <w:tblW w:w="5000" w:type="pct"/>
        <w:jc w:val="left"/>
        <w:tblInd w:w="0" w:type="dxa"/>
        <w:tblLayout w:type="fixed"/>
        <w:tblCellMar>
          <w:top w:w="0" w:type="dxa"/>
          <w:left w:w="0" w:type="dxa"/>
          <w:bottom w:w="0" w:type="dxa"/>
          <w:right w:w="0" w:type="dxa"/>
        </w:tblCellMar>
      </w:tblPr>
      <w:tblGrid>
        <w:gridCol w:w="50"/>
        <w:gridCol w:w="384"/>
        <w:gridCol w:w="9771"/>
      </w:tblGrid>
      <w:tr>
        <w:trPr/>
        <w:tc>
          <w:tcPr>
            <w:tcW w:w="5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(b)</w:t>
            </w:r>
          </w:p>
        </w:tc>
        <w:tc>
          <w:tcPr>
            <w:tcW w:w="9771" w:type="dxa"/>
            <w:tcBorders/>
            <w:vAlign w:val="center"/>
          </w:tcPr>
          <w:p>
            <w:pPr>
              <w:pStyle w:val="TableContents"/>
              <w:bidi w:val="0"/>
              <w:spacing w:before="0" w:after="283"/>
              <w:jc w:val="left"/>
              <w:rPr/>
            </w:pPr>
            <w:r>
              <w:rPr/>
              <w:t>the effects of any Bail-in Action on any such liability, including, if applicable:</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CII</w:t>
      </w:r>
      <w:r>
        <w:rPr>
          <w:rFonts w:ascii="Times New Roman;Times;Serif" w:hAnsi="Times New Roman;Times;Serif"/>
          <w:b w:val="false"/>
          <w:i w:val="false"/>
          <w:caps w:val="false"/>
          <w:smallCaps w:val="false"/>
          <w:sz w:val="20"/>
        </w:rPr>
        <w:t xml:space="preserve"> a reduction in full or in part or cancellation of any such liability;</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CIII</w:t>
      </w:r>
      <w:r>
        <w:rPr>
          <w:rFonts w:ascii="Times New Roman;Times;Serif" w:hAnsi="Times New Roman;Times;Serif"/>
          <w:b w:val="false"/>
          <w:i w:val="false"/>
          <w:caps w:val="false"/>
          <w:smallCaps w:val="false"/>
          <w:sz w:val="20"/>
        </w:rPr>
        <w:t xml:space="preserve">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CIV</w:t>
      </w:r>
      <w:r>
        <w:rPr>
          <w:rFonts w:ascii="Times New Roman;Times;Serif" w:hAnsi="Times New Roman;Times;Serif"/>
          <w:b w:val="false"/>
          <w:i w:val="false"/>
          <w:caps w:val="false"/>
          <w:smallCaps w:val="false"/>
          <w:sz w:val="20"/>
        </w:rPr>
        <w:t xml:space="preserve"> the variation of the terms of such liability in connection with the exercise of the write-down and conversion powers of the applicable Resolution Authority.</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104.01 </w:t>
      </w:r>
      <w:r>
        <w:rPr>
          <w:rFonts w:ascii="Times New Roman;Times;Serif" w:hAnsi="Times New Roman;Times;Serif"/>
          <w:b/>
          <w:i w:val="false"/>
          <w:caps w:val="false"/>
          <w:smallCaps w:val="false"/>
          <w:sz w:val="20"/>
          <w:u w:val="single"/>
        </w:rPr>
        <w:t>Existing Credit Agreement Amended and Restated</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this Agreement shall amend and restate the Existing Credit Agreement and the existing guarantee under the Existing Credit Agreement (the “Existing Guaranties”) in their entirety but, for the avoidance of doubt, shall not constitute a novation of the parties’ rights and obligations thereunder. On the Closing Date, the rights and obligations of the parties hereto evidenced by the Existing Credit Agreement and the Existing Guaranties shall be evidenced by this Agreement and the other Loan Documents, the “Loans” as defined in the Existing Credit Agreement shall remain outstanding and be continued as, and converted to, Loans as defined herein and the Existing Letters of Credit issued by the L/C Issuer (as defined in the Existing Credit Agreement) for the account of certain Borrowers prior to the Closing Date shall remain issued and outstanding and shall be deemed to be Letters of Credit under this Agreement, and shall bear interest and be subject to such other fees as set forth in this Agreement.</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104.02 </w:t>
      </w:r>
      <w:r>
        <w:rPr>
          <w:rFonts w:ascii="Times New Roman;Times;Serif" w:hAnsi="Times New Roman;Times;Serif"/>
          <w:b/>
          <w:i w:val="false"/>
          <w:caps w:val="false"/>
          <w:smallCaps w:val="false"/>
          <w:sz w:val="20"/>
          <w:u w:val="single"/>
        </w:rPr>
        <w:t>Swiss Limitations</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left"/>
              <w:rPr/>
            </w:pPr>
            <w:r>
              <w:rPr/>
              <w:t>If and to the extent that a Swiss Loan Party becomes liable under this Agreement or any other Loan Document for obligations of a Non-Swiss-Controlled Group Member and if complying with such obligations would constitute a repayment of capital (</w:t>
            </w:r>
            <w:r>
              <w:rPr>
                <w:i/>
              </w:rPr>
              <w:t>Einlagerückgewähr</w:t>
            </w:r>
            <w:r>
              <w:rPr/>
              <w:t>), a violation of the</w:t>
            </w:r>
          </w:p>
        </w:tc>
      </w:tr>
    </w:tbl>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legally protected reserves (</w:t>
      </w:r>
      <w:r>
        <w:rPr>
          <w:rFonts w:ascii="Times New Roman;Times;Serif" w:hAnsi="Times New Roman;Times;Serif"/>
          <w:b w:val="false"/>
          <w:i/>
          <w:caps w:val="false"/>
          <w:smallCaps w:val="false"/>
          <w:sz w:val="20"/>
        </w:rPr>
        <w:t>gesetzlich geschützte Reserven</w:t>
      </w:r>
      <w:r>
        <w:rPr>
          <w:rFonts w:ascii="Times New Roman;Times;Serif" w:hAnsi="Times New Roman;Times;Serif"/>
          <w:b w:val="false"/>
          <w:i w:val="false"/>
          <w:caps w:val="false"/>
          <w:smallCaps w:val="false"/>
          <w:sz w:val="20"/>
        </w:rPr>
        <w:t xml:space="preserve">) or the payment of a (constructive) dividend </w:t>
      </w:r>
      <w:r>
        <w:rPr>
          <w:rFonts w:ascii="Times New Roman;Times;Serif" w:hAnsi="Times New Roman;Times;Serif"/>
          <w:b w:val="false"/>
          <w:i/>
          <w:caps w:val="false"/>
          <w:smallCaps w:val="false"/>
          <w:sz w:val="20"/>
        </w:rPr>
        <w:t>((verdeckte) Gewinnausschüttung</w:t>
      </w:r>
      <w:r>
        <w:rPr>
          <w:rFonts w:ascii="Times New Roman;Times;Serif" w:hAnsi="Times New Roman;Times;Serif"/>
          <w:b w:val="false"/>
          <w:i w:val="false"/>
          <w:caps w:val="false"/>
          <w:smallCaps w:val="false"/>
          <w:sz w:val="20"/>
        </w:rPr>
        <w:t>) by such Swiss Loan Party or would otherwise be restricted under then applicable Swiss law (the "</w:t>
      </w:r>
      <w:r>
        <w:rPr>
          <w:rFonts w:ascii="Times New Roman;Times;Serif" w:hAnsi="Times New Roman;Times;Serif"/>
          <w:b/>
          <w:i w:val="false"/>
          <w:caps w:val="false"/>
          <w:smallCaps w:val="false"/>
          <w:sz w:val="20"/>
        </w:rPr>
        <w:t>Swiss Restricted Obligations</w:t>
      </w:r>
      <w:r>
        <w:rPr>
          <w:rFonts w:ascii="Times New Roman;Times;Serif" w:hAnsi="Times New Roman;Times;Serif"/>
          <w:b w:val="false"/>
          <w:i w:val="false"/>
          <w:caps w:val="false"/>
          <w:smallCaps w:val="false"/>
          <w:sz w:val="20"/>
        </w:rPr>
        <w:t>"), the aggregate liability of the Swiss Loan Party for Swiss Restricted Obligations shall be limited at such time to the Swiss Capped Amount provided that (1) this limitation shall only apply to the extent it is a requirement under applicable Swiss law at the time the Swiss Loan Party is required to perform under the Swiss Restricted Obligations, and (2) such limitation shall not free the Swiss Loan Party from its obligations in excess of the Swiss Capped Amount, but merely postpone the performance date therefore until such times as performance is again permitted.</w:t>
      </w:r>
    </w:p>
    <w:tbl>
      <w:tblPr>
        <w:tblW w:w="5000" w:type="pct"/>
        <w:jc w:val="left"/>
        <w:tblInd w:w="0" w:type="dxa"/>
        <w:tblLayout w:type="fixed"/>
        <w:tblCellMar>
          <w:top w:w="0" w:type="dxa"/>
          <w:left w:w="0" w:type="dxa"/>
          <w:bottom w:w="0" w:type="dxa"/>
          <w:right w:w="0" w:type="dxa"/>
        </w:tblCellMar>
      </w:tblPr>
      <w:tblGrid>
        <w:gridCol w:w="40"/>
        <w:gridCol w:w="312"/>
        <w:gridCol w:w="9853"/>
      </w:tblGrid>
      <w:tr>
        <w:trPr/>
        <w:tc>
          <w:tcPr>
            <w:tcW w:w="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In relation to payments made under the Swiss Restricted Obligations, the Swiss Loan Party shall:</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CV </w:t>
      </w:r>
      <w:r>
        <w:rPr>
          <w:rFonts w:ascii="Times New Roman;Times;Serif" w:hAnsi="Times New Roman;Times;Serif"/>
          <w:b w:val="false"/>
          <w:i w:val="false"/>
          <w:caps w:val="false"/>
          <w:smallCaps w:val="false"/>
          <w:sz w:val="20"/>
        </w:rPr>
        <w:t>procure that such payments can be made without deduction of Swiss Withholding Tax, or with deduction of Swiss Withholding Tax at a reduced rate, by discharging the liability to such tax by notification pursuant to applicable law (including double tax treaties) rather than payment of the tax (and the Swiss Loan Party shall promptly deliver to the Administrative Agent a copy of each such notification made);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CVI</w:t>
      </w:r>
      <w:r>
        <w:rPr>
          <w:rFonts w:ascii="Times New Roman;Times;Serif" w:hAnsi="Times New Roman;Times;Serif"/>
          <w:b w:val="false"/>
          <w:i w:val="false"/>
          <w:caps w:val="false"/>
          <w:smallCaps w:val="false"/>
          <w:sz w:val="20"/>
        </w:rPr>
        <w:t xml:space="preserve"> if such notification procedure pursuant to subparagraph (i) above does not apply: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deduct Swiss Withholding Tax at the rate of 35 per cent (or such other rate as is in force at that time) from any such payment or if the notification procedure pursuant to subparagraph (i) above applies for a part of the Swiss Withholding Tax only, deduct Swiss Withholding Tax at the reduced rate resulting after the discharge of part of such tax by notification under applicable law;</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pay any such deduction to the Swiss Federal Tax Administration;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notify and provide evidence to the Administrative Agent that the Swiss Withholding Tax has been paid to the Swiss Federal Tax Administration;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use its best efforts to ensure that any person other than a Loan Party, which is entitled to a full or partial refund of the Swiss Withholding Tax deducted from such payment in respect of Swiss Restricted Obligations, will, as soon as possible after such deduction, request a refund of Swiss Withholding Tax under applicable law (including treaties) and pay to the Administrative Agent upon receipt any amounts so refunded; or (B) if a Loan Party is entitled to a full or partial refund of the Swiss Withholding Tax deducted from such payment, and if requested by the Administrative Agent, provide the Administrative Agent those documents that are required by law and applicable treaties to be provided by the payer of such tax, for each relevant Loan Party, to prepare a claim for refund of Swiss Withholding Tax.</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t>Where a deduction for Swiss Withholding Tax is required to be made in respect of any payment under this clause pursuant to paragraph (b) above, the Administrative Agent shall be entitled to further enforce the Guarantee granted by the Swiss Loan Party under this Agreement and apply proceeds therefrom against the Swiss Restricted Obligations (and the Swiss Loan Party shall withhold Swiss Withholding Tax on the additional amount in accordance with paragraph (b) above) so that after making any required deduction of Swiss Withholding Tax, the aggregate amount paid net of Swiss Withholding Tax is equal to the amount which would have resulted if no deduction of Swiss Withholding Tax had been required, subject always to the limitations set out in paragraph (a) above. This paragraph (c) is without prejudice to the indemnification obligations of any Loan Party other than the Swiss Loan Party in respect of any amounts deducted on account of Swiss Withholding Tax.</w:t>
            </w:r>
          </w:p>
        </w:tc>
      </w:tr>
    </w:tbl>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left"/>
              <w:rPr/>
            </w:pPr>
            <w:r>
              <w:rPr/>
              <w:t>If and to the extent requested by the Administrative Agent, the Swiss Loan Party shall, and any parent company of the Swiss Loan Party being a party to this Agreement shall procure that the Swiss Loan Party will, promptly implement all such measures and/or promptly procure the fulfilment of all prerequisites allowing it to promptly make the requested payment(s) from time to time, including the following:</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CVII </w:t>
      </w:r>
      <w:r>
        <w:rPr>
          <w:rFonts w:ascii="Times New Roman;Times;Serif" w:hAnsi="Times New Roman;Times;Serif"/>
          <w:b w:val="false"/>
          <w:i w:val="false"/>
          <w:caps w:val="false"/>
          <w:smallCaps w:val="false"/>
          <w:sz w:val="20"/>
        </w:rPr>
        <w:t>preparation of an up-to-date audited interim balance sheet of the Swiss Loan Party on the basis of which the Swiss Capped Amount will be determined;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CVIII </w:t>
      </w:r>
      <w:r>
        <w:rPr>
          <w:rFonts w:ascii="Times New Roman;Times;Serif" w:hAnsi="Times New Roman;Times;Serif"/>
          <w:b w:val="false"/>
          <w:i w:val="false"/>
          <w:caps w:val="false"/>
          <w:smallCaps w:val="false"/>
          <w:sz w:val="20"/>
        </w:rPr>
        <w:t>confirmation of the auditors of the Swiss Loan Party that the Swiss Capped Amount has been correctly calculated;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CIX </w:t>
      </w:r>
      <w:r>
        <w:rPr>
          <w:rFonts w:ascii="Times New Roman;Times;Serif" w:hAnsi="Times New Roman;Times;Serif"/>
          <w:b w:val="false"/>
          <w:i w:val="false"/>
          <w:caps w:val="false"/>
          <w:smallCaps w:val="false"/>
          <w:sz w:val="20"/>
        </w:rPr>
        <w:t>approval by a shareholders’ meeting of the Swiss Loan Party of the distribution of the relevant requested amount (within the limits of the Swiss Capped Amount);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CX </w:t>
      </w:r>
      <w:r>
        <w:rPr>
          <w:rFonts w:ascii="Times New Roman;Times;Serif" w:hAnsi="Times New Roman;Times;Serif"/>
          <w:b w:val="false"/>
          <w:i w:val="false"/>
          <w:caps w:val="false"/>
          <w:smallCaps w:val="false"/>
          <w:sz w:val="20"/>
        </w:rPr>
        <w:t>if the enforcement of obligations of the Swiss Loan Party were limited due to the effects referred to in this clause and to the extent permitted by applicable Swiss law, write up and/or, to the extent permitted under the Loan Documents, realize any of its assets that are shown in its balance sheet with a book value that is lower than the market value of the assets (in case of realization, however, only if such assets are not necessary for the Swiss Loan Party's business (</w:t>
      </w:r>
      <w:r>
        <w:rPr>
          <w:rFonts w:ascii="Times New Roman;Times;Serif" w:hAnsi="Times New Roman;Times;Serif"/>
          <w:b w:val="false"/>
          <w:i/>
          <w:caps w:val="false"/>
          <w:smallCaps w:val="false"/>
          <w:sz w:val="20"/>
        </w:rPr>
        <w:t>nicht betriebsnotwendinge Aktiven</w:t>
      </w:r>
      <w:r>
        <w:rPr>
          <w:rFonts w:ascii="Times New Roman;Times;Serif" w:hAnsi="Times New Roman;Times;Serif"/>
          <w:b w:val="false"/>
          <w:i w:val="false"/>
          <w:caps w:val="false"/>
          <w:smallCaps w:val="false"/>
          <w:sz w:val="20"/>
        </w:rPr>
        <w:t>)), and/or convert share capital and statutory reserves into freely available reserves unless prohibited by mandatory law; and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CXI </w:t>
      </w:r>
      <w:r>
        <w:rPr>
          <w:rFonts w:ascii="Times New Roman;Times;Serif" w:hAnsi="Times New Roman;Times;Serif"/>
          <w:b w:val="false"/>
          <w:i w:val="false"/>
          <w:caps w:val="false"/>
          <w:smallCaps w:val="false"/>
          <w:sz w:val="20"/>
        </w:rPr>
        <w:t>all such measures necessary or useful, and permitted under applicable Swiss law, to allow the Swiss Loan Party to make prompt payments or perform promptly the Swiss Restricted Obligations with a minimum of limitations.</w:t>
      </w:r>
    </w:p>
    <w:p>
      <w:pPr>
        <w:pStyle w:val="TextBody"/>
        <w:bidi w:val="0"/>
        <w:spacing w:before="0" w:after="24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111.01 </w:t>
      </w:r>
      <w:r>
        <w:rPr>
          <w:rFonts w:ascii="Times New Roman;Times;Serif" w:hAnsi="Times New Roman;Times;Serif"/>
          <w:b/>
          <w:i w:val="false"/>
          <w:caps w:val="false"/>
          <w:smallCaps w:val="false"/>
          <w:sz w:val="20"/>
          <w:u w:val="single"/>
        </w:rPr>
        <w:t>Acknowledgement Regarding Any Supported QFCs</w:t>
      </w:r>
      <w:r>
        <w:rPr>
          <w:rFonts w:ascii="Times New Roman;Times;Serif" w:hAnsi="Times New Roman;Times;Serif"/>
          <w:b/>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Loan Documents provide support, through a guarantee or otherwise, for any Swap Contract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t>In the event a Covered Entity that is party to a Supported QFC (each, a “</w:t>
            </w:r>
            <w:r>
              <w:rPr>
                <w:u w:val="single"/>
              </w:rPr>
              <w:t>Covered Party</w:t>
            </w:r>
            <w:r>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tc>
      </w:tr>
    </w:tbl>
    <w:tbl>
      <w:tblPr>
        <w:tblW w:w="5000" w:type="pct"/>
        <w:jc w:val="left"/>
        <w:tblInd w:w="0" w:type="dxa"/>
        <w:tblLayout w:type="fixed"/>
        <w:tblCellMar>
          <w:top w:w="0" w:type="dxa"/>
          <w:left w:w="0" w:type="dxa"/>
          <w:bottom w:w="0" w:type="dxa"/>
          <w:right w:w="0" w:type="dxa"/>
        </w:tblCellMar>
      </w:tblPr>
      <w:tblGrid>
        <w:gridCol w:w="48"/>
        <w:gridCol w:w="374"/>
        <w:gridCol w:w="9783"/>
      </w:tblGrid>
      <w:tr>
        <w:trPr/>
        <w:tc>
          <w:tcPr>
            <w:tcW w:w="4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(b)</w:t>
            </w:r>
          </w:p>
        </w:tc>
        <w:tc>
          <w:tcPr>
            <w:tcW w:w="9783" w:type="dxa"/>
            <w:tcBorders/>
            <w:vAlign w:val="center"/>
          </w:tcPr>
          <w:p>
            <w:pPr>
              <w:pStyle w:val="TableContents"/>
              <w:bidi w:val="0"/>
              <w:spacing w:before="0" w:after="283"/>
              <w:jc w:val="left"/>
              <w:rPr/>
            </w:pPr>
            <w:r>
              <w:rPr/>
              <w:t xml:space="preserve">As used in this </w:t>
            </w:r>
            <w:r>
              <w:rPr>
                <w:u w:val="single"/>
              </w:rPr>
              <w:t>Section 11.26,</w:t>
            </w:r>
            <w:r>
              <w:rPr/>
              <w:t xml:space="preserve"> the following terms have the following meanings:</w:t>
            </w:r>
          </w:p>
        </w:tc>
      </w:tr>
    </w:tbl>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 xml:space="preserve">BHC </w:t>
      </w:r>
      <w:r>
        <w:rPr>
          <w:rFonts w:ascii="Times New Roman;Times;Serif" w:hAnsi="Times New Roman;Times;Serif"/>
          <w:b w:val="false"/>
          <w:i w:val="false"/>
          <w:caps w:val="false"/>
          <w:smallCaps w:val="false"/>
          <w:sz w:val="20"/>
        </w:rPr>
        <w:t>Act Affiliate” of a party means an “affiliate” (as such term is defined under, and interpreted in accordance with, 12 U.S.C. 1841(k)) of such party.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QFC” has the meaning assigned to the term “qualified financial contract” in, and shall be interpreted in accordance with, 12 U.S.C. 5390(c)(8)(D).</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[REMAINDER OF PAGE INTENTIONALLY LEFT BLANK.]</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p>
      <w:pPr>
        <w:pStyle w:val="TextBody"/>
        <w:bidi w:val="0"/>
        <w:spacing w:before="0" w:after="240"/>
        <w:jc w:val="center"/>
        <w:rPr>
          <w:caps/>
        </w:rPr>
      </w:pPr>
      <w:r>
        <w:rPr>
          <w:caps/>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207</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New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112</Pages>
  <Words>106992</Words>
  <Characters>565536</Characters>
  <CharactersWithSpaces>672111</CharactersWithSpaces>
  <Paragraphs>4013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