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136525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p>
      <w:pPr>
        <w:spacing w:after="0" w:line="200" w:lineRule="exact"/>
        <w:rPr>
          <w:sz w:val="24"/>
          <w:szCs w:val="24"/>
          <w:color w:val="auto"/>
        </w:rPr>
      </w:pPr>
    </w:p>
    <w:p>
      <w:pPr>
        <w:spacing w:after="0" w:line="233"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360"/>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360"/>
        <w:spacing w:after="0"/>
        <w:rPr>
          <w:sz w:val="20"/>
          <w:szCs w:val="20"/>
          <w:color w:val="auto"/>
        </w:rPr>
      </w:pPr>
      <w:r>
        <w:rPr>
          <w:rFonts w:ascii="Arial" w:cs="Arial" w:eastAsia="Arial" w:hAnsi="Arial"/>
          <w:sz w:val="22"/>
          <w:szCs w:val="22"/>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289560</wp:posOffset>
            </wp:positionV>
            <wp:extent cx="10972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3" w:lineRule="exact"/>
        <w:rPr>
          <w:sz w:val="24"/>
          <w:szCs w:val="24"/>
          <w:color w:val="auto"/>
        </w:rPr>
      </w:pPr>
    </w:p>
    <w:p>
      <w:pPr>
        <w:jc w:val="center"/>
        <w:ind w:right="-360"/>
        <w:spacing w:after="0"/>
        <w:rPr>
          <w:sz w:val="20"/>
          <w:szCs w:val="20"/>
          <w:color w:val="auto"/>
        </w:rPr>
      </w:pPr>
      <w:r>
        <w:rPr>
          <w:rFonts w:ascii="Arial" w:cs="Arial" w:eastAsia="Arial" w:hAnsi="Arial"/>
          <w:sz w:val="32"/>
          <w:szCs w:val="32"/>
          <w:b w:val="1"/>
          <w:bCs w:val="1"/>
          <w:color w:val="auto"/>
        </w:rPr>
        <w:t>SCHEDULE 14A INFORMATION</w:t>
      </w:r>
    </w:p>
    <w:p>
      <w:pPr>
        <w:spacing w:after="0" w:line="35"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Proxy Statement Pursuant to Section 14(a) of the</w:t>
      </w:r>
    </w:p>
    <w:p>
      <w:pPr>
        <w:jc w:val="center"/>
        <w:ind w:right="-360"/>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2540000</wp:posOffset>
            </wp:positionH>
            <wp:positionV relativeFrom="paragraph">
              <wp:posOffset>314960</wp:posOffset>
            </wp:positionV>
            <wp:extent cx="10972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1" w:lineRule="exact"/>
        <w:rPr>
          <w:sz w:val="24"/>
          <w:szCs w:val="24"/>
          <w:color w:val="auto"/>
        </w:rPr>
      </w:pPr>
    </w:p>
    <w:p>
      <w:pPr>
        <w:spacing w:after="0" w:line="207" w:lineRule="exact"/>
        <w:tabs>
          <w:tab w:leader="none" w:pos="280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8" w:lineRule="exact"/>
        <w:rPr>
          <w:sz w:val="24"/>
          <w:szCs w:val="24"/>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2"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4"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36"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4" w:lineRule="exact"/>
        <w:rPr>
          <w:rFonts w:ascii="MS PGothic" w:cs="MS PGothic" w:eastAsia="MS PGothic" w:hAnsi="MS PGothic"/>
          <w:sz w:val="18"/>
          <w:szCs w:val="18"/>
          <w:color w:val="auto"/>
        </w:rPr>
      </w:pPr>
    </w:p>
    <w:p>
      <w:pPr>
        <w:ind w:left="440" w:hanging="432"/>
        <w:spacing w:after="0"/>
        <w:tabs>
          <w:tab w:leader="none" w:pos="44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0" w:lineRule="exact"/>
        <w:rPr>
          <w:sz w:val="24"/>
          <w:szCs w:val="24"/>
          <w:color w:val="auto"/>
        </w:rPr>
      </w:pPr>
    </w:p>
    <w:p>
      <w:pPr>
        <w:spacing w:after="0" w:line="202" w:lineRule="exact"/>
        <w:rPr>
          <w:sz w:val="24"/>
          <w:szCs w:val="24"/>
          <w:color w:val="auto"/>
        </w:rPr>
      </w:pPr>
    </w:p>
    <w:p>
      <w:pPr>
        <w:ind w:left="2920"/>
        <w:spacing w:after="0"/>
        <w:rPr>
          <w:sz w:val="20"/>
          <w:szCs w:val="20"/>
          <w:color w:val="auto"/>
        </w:rPr>
      </w:pPr>
      <w:r>
        <w:rPr>
          <w:rFonts w:ascii="Arial" w:cs="Arial" w:eastAsia="Arial" w:hAnsi="Arial"/>
          <w:sz w:val="36"/>
          <w:szCs w:val="36"/>
          <w:b w:val="1"/>
          <w:bCs w:val="1"/>
          <w:color w:val="auto"/>
        </w:rPr>
        <w:t>MOVADO GROUP, INC.</w:t>
      </w:r>
    </w:p>
    <w:p>
      <w:pPr>
        <w:spacing w:after="0" w:line="41"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(Name of Registrant as Specified in Its Charter)</w:t>
      </w:r>
    </w:p>
    <w:p>
      <w:pPr>
        <w:spacing w:after="0" w:line="167" w:lineRule="exact"/>
        <w:rPr>
          <w:sz w:val="24"/>
          <w:szCs w:val="24"/>
          <w:color w:val="auto"/>
        </w:rPr>
      </w:pPr>
    </w:p>
    <w:p>
      <w:pPr>
        <w:jc w:val="center"/>
        <w:ind w:right="-36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34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44"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54"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4" w:lineRule="exact"/>
        <w:rPr>
          <w:rFonts w:ascii="MS PGothic" w:cs="MS PGothic" w:eastAsia="MS PGothic" w:hAnsi="MS PGothic"/>
          <w:sz w:val="18"/>
          <w:szCs w:val="18"/>
          <w:color w:val="auto"/>
        </w:rPr>
      </w:pPr>
    </w:p>
    <w:p>
      <w:pPr>
        <w:ind w:left="440" w:hanging="432"/>
        <w:spacing w:after="0"/>
        <w:tabs>
          <w:tab w:leader="none" w:pos="440" w:val="left"/>
        </w:tabs>
        <w:numPr>
          <w:ilvl w:val="1"/>
          <w:numId w:val="2"/>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-408305</wp:posOffset>
            </wp:positionH>
            <wp:positionV relativeFrom="paragraph">
              <wp:posOffset>346710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123825</wp:posOffset>
            </wp:positionV>
            <wp:extent cx="61722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220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184150</wp:posOffset>
            </wp:positionV>
            <wp:extent cx="617220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tc>
        <w:tc>
          <w:tcPr>
            <w:tcW w:w="1200" w:type="dxa"/>
            <w:vAlign w:val="bottom"/>
          </w:tcPr>
          <w:p>
            <w:pPr>
              <w:spacing w:after="0"/>
              <w:rPr>
                <w:sz w:val="16"/>
                <w:szCs w:val="16"/>
                <w:color w:val="auto"/>
              </w:rPr>
            </w:pPr>
          </w:p>
        </w:tc>
      </w:tr>
      <w:tr>
        <w:trPr>
          <w:trHeight w:val="414"/>
        </w:trPr>
        <w:tc>
          <w:tcPr>
            <w:tcW w:w="3660" w:type="dxa"/>
            <w:vAlign w:val="bottom"/>
          </w:tcPr>
          <w:p>
            <w:pPr>
              <w:spacing w:after="0"/>
              <w:rPr>
                <w:sz w:val="20"/>
                <w:szCs w:val="20"/>
                <w:color w:val="auto"/>
              </w:rPr>
            </w:pPr>
            <w:r>
              <w:rPr>
                <w:rFonts w:ascii="Arial" w:cs="Arial" w:eastAsia="Arial" w:hAnsi="Arial"/>
                <w:sz w:val="16"/>
                <w:szCs w:val="16"/>
                <w:color w:val="auto"/>
              </w:rPr>
              <w:t>650 From Road, Ste. 375</w:t>
            </w:r>
          </w:p>
        </w:tc>
        <w:tc>
          <w:tcPr>
            <w:tcW w:w="1200" w:type="dxa"/>
            <w:vAlign w:val="bottom"/>
          </w:tcPr>
          <w:p>
            <w:pPr>
              <w:spacing w:after="0"/>
              <w:rPr>
                <w:sz w:val="24"/>
                <w:szCs w:val="24"/>
                <w:color w:val="auto"/>
              </w:rPr>
            </w:pPr>
          </w:p>
        </w:tc>
      </w:tr>
      <w:tr>
        <w:trPr>
          <w:trHeight w:val="261"/>
        </w:trPr>
        <w:tc>
          <w:tcPr>
            <w:tcW w:w="3660" w:type="dxa"/>
            <w:vAlign w:val="bottom"/>
          </w:tcPr>
          <w:p>
            <w:pPr>
              <w:spacing w:after="0"/>
              <w:rPr>
                <w:sz w:val="20"/>
                <w:szCs w:val="20"/>
                <w:color w:val="auto"/>
              </w:rPr>
            </w:pPr>
            <w:r>
              <w:rPr>
                <w:rFonts w:ascii="Arial" w:cs="Arial" w:eastAsia="Arial" w:hAnsi="Arial"/>
                <w:sz w:val="16"/>
                <w:szCs w:val="16"/>
                <w:color w:val="auto"/>
              </w:rPr>
              <w:t>Paramus, New Jersey 07652-3556</w:t>
            </w:r>
          </w:p>
        </w:tc>
        <w:tc>
          <w:tcPr>
            <w:tcW w:w="1200" w:type="dxa"/>
            <w:vAlign w:val="bottom"/>
          </w:tcPr>
          <w:p>
            <w:pPr>
              <w:ind w:left="1160"/>
              <w:spacing w:after="0"/>
              <w:rPr>
                <w:sz w:val="20"/>
                <w:szCs w:val="20"/>
                <w:color w:val="auto"/>
              </w:rPr>
            </w:pPr>
            <w:r>
              <w:rPr>
                <w:rFonts w:ascii="Arial" w:cs="Arial" w:eastAsia="Arial" w:hAnsi="Arial"/>
                <w:sz w:val="13"/>
                <w:szCs w:val="13"/>
                <w:color w:val="auto"/>
                <w:w w:val="75"/>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4246880</wp:posOffset>
            </wp:positionH>
            <wp:positionV relativeFrom="paragraph">
              <wp:posOffset>-276225</wp:posOffset>
            </wp:positionV>
            <wp:extent cx="172275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22755" cy="137160"/>
                    </a:xfrm>
                    <a:prstGeom prst="rect">
                      <a:avLst/>
                    </a:prstGeom>
                    <a:noFill/>
                  </pic:spPr>
                </pic:pic>
              </a:graphicData>
            </a:graphic>
          </wp:anchor>
        </w:drawing>
      </w:r>
    </w:p>
    <w:p>
      <w:pPr>
        <w:spacing w:after="0" w:line="251" w:lineRule="exact"/>
        <w:rPr>
          <w:sz w:val="20"/>
          <w:szCs w:val="20"/>
          <w:color w:val="auto"/>
        </w:rPr>
      </w:pPr>
    </w:p>
    <w:p>
      <w:pPr>
        <w:spacing w:after="0"/>
        <w:rPr>
          <w:sz w:val="20"/>
          <w:szCs w:val="20"/>
          <w:color w:val="auto"/>
        </w:rPr>
      </w:pPr>
      <w:r>
        <w:rPr>
          <w:rFonts w:ascii="Arial" w:cs="Arial" w:eastAsia="Arial" w:hAnsi="Arial"/>
          <w:sz w:val="50"/>
          <w:szCs w:val="50"/>
          <w:b w:val="1"/>
          <w:bCs w:val="1"/>
          <w:color w:val="D9BA05"/>
        </w:rPr>
        <w:t>Notice of Annual Meeting of</w:t>
      </w:r>
    </w:p>
    <w:p>
      <w:pPr>
        <w:spacing w:after="0" w:line="58" w:lineRule="exact"/>
        <w:rPr>
          <w:sz w:val="20"/>
          <w:szCs w:val="20"/>
          <w:color w:val="auto"/>
        </w:rPr>
      </w:pPr>
    </w:p>
    <w:p>
      <w:pPr>
        <w:spacing w:after="0"/>
        <w:rPr>
          <w:sz w:val="20"/>
          <w:szCs w:val="20"/>
          <w:color w:val="auto"/>
        </w:rPr>
      </w:pPr>
      <w:r>
        <w:rPr>
          <w:rFonts w:ascii="Arial" w:cs="Arial" w:eastAsia="Arial" w:hAnsi="Arial"/>
          <w:sz w:val="50"/>
          <w:szCs w:val="50"/>
          <w:b w:val="1"/>
          <w:bCs w:val="1"/>
          <w:color w:val="D9BA05"/>
        </w:rPr>
        <w:t>Shareholders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36195</wp:posOffset>
            </wp:positionV>
            <wp:extent cx="59664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79"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2026 Annual Meeting of Shareholders of Movado Group, Inc. will be held on Wednesday, June 17, 2026, at 10:00 a.m., Eastern time. To allow all of our shareholders, regardless of their physical location, to participate more easily in the meeting, the annual meeting once again will be held entirely online. You will be able to attend and participate in the annual meeting online by visiting www.virtualshareholdermeeting.com/MOV2026, where you will be able to listen to the meeting live, submit questions, and vote. To be admitted to the virtual meeting, eligible persons must enter the 16-digit control number found on their proxy card, voting instruction form, or notice of internet availability of proxy materials. If your shares are held in “street name” through a broker, bank or other nominee, you may obtain your control number by contacting them. If you encounter any difficulty accessing the Annual Meeting or during the Annual Meeting, please call the technical support number posted on the Annual Meeting website. The technical support number will be available at least 15 minutes before the start of the meeting.</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encourage shareholders to visit the www.virtualshareholdermeeting.com/MOV2026 website for the most up-to-date information on the Annual Meeting, any procedures and limitations concerning attendance, and instructions on how to vote and ask questions during the Annual Meeting. Whether or not shareholders plan to attend the virtual-only Annual Meeting, we urge shareholders to vote and submit their proxies in advance of the meeting by one of the methods described in these proxy materials.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2026 Annual Meeting of Shareholders is being held for the following purposes:</w:t>
      </w:r>
    </w:p>
    <w:p>
      <w:pPr>
        <w:spacing w:after="0" w:line="100" w:lineRule="exact"/>
        <w:rPr>
          <w:sz w:val="20"/>
          <w:szCs w:val="20"/>
          <w:color w:val="auto"/>
        </w:rPr>
      </w:pPr>
    </w:p>
    <w:p>
      <w:pPr>
        <w:ind w:left="700" w:right="300" w:hanging="377"/>
        <w:spacing w:after="0" w:line="182" w:lineRule="auto"/>
        <w:rPr>
          <w:sz w:val="20"/>
          <w:szCs w:val="20"/>
          <w:color w:val="auto"/>
        </w:rPr>
      </w:pPr>
      <w:r>
        <w:rPr>
          <w:rFonts w:ascii="Arial" w:cs="Arial" w:eastAsia="Arial" w:hAnsi="Arial"/>
          <w:sz w:val="64"/>
          <w:szCs w:val="64"/>
          <w:b w:val="1"/>
          <w:bCs w:val="1"/>
          <w:color w:val="auto"/>
          <w:vertAlign w:val="subscript"/>
        </w:rPr>
        <w:t>1.</w:t>
      </w:r>
      <w:r>
        <w:rPr>
          <w:rFonts w:ascii="Arial" w:cs="Arial" w:eastAsia="Arial" w:hAnsi="Arial"/>
          <w:sz w:val="16"/>
          <w:szCs w:val="16"/>
          <w:color w:val="auto"/>
        </w:rPr>
        <w:t xml:space="preserve"> To elect eight directors to serve on the Board of Directors until the next Annual Meeting and until their successors are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-356235</wp:posOffset>
            </wp:positionV>
            <wp:extent cx="5966460" cy="436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66460" cy="436880"/>
                    </a:xfrm>
                    <a:prstGeom prst="rect">
                      <a:avLst/>
                    </a:prstGeom>
                    <a:noFill/>
                  </pic:spPr>
                </pic:pic>
              </a:graphicData>
            </a:graphic>
          </wp:anchor>
        </w:drawing>
      </w:r>
    </w:p>
    <w:p>
      <w:pPr>
        <w:ind w:left="700" w:right="120" w:hanging="377"/>
        <w:spacing w:after="0" w:line="181" w:lineRule="auto"/>
        <w:rPr>
          <w:sz w:val="20"/>
          <w:szCs w:val="20"/>
          <w:color w:val="auto"/>
        </w:rPr>
      </w:pPr>
      <w:r>
        <w:rPr>
          <w:rFonts w:ascii="Arial" w:cs="Arial" w:eastAsia="Arial" w:hAnsi="Arial"/>
          <w:sz w:val="57"/>
          <w:szCs w:val="57"/>
          <w:b w:val="1"/>
          <w:bCs w:val="1"/>
          <w:color w:val="auto"/>
          <w:vertAlign w:val="subscript"/>
        </w:rPr>
        <w:t>2.</w:t>
      </w:r>
      <w:r>
        <w:rPr>
          <w:rFonts w:ascii="Arial" w:cs="Arial" w:eastAsia="Arial" w:hAnsi="Arial"/>
          <w:sz w:val="16"/>
          <w:szCs w:val="16"/>
          <w:color w:val="auto"/>
        </w:rPr>
        <w:t xml:space="preserve"> To ratify the selection of PricewaterhouseCoopers LLP as the Company’s independent registered public accounting firm for the fiscal year ending January 31, 2027.</w:t>
      </w:r>
    </w:p>
    <w:p>
      <w:pPr>
        <w:spacing w:after="0" w:line="1" w:lineRule="exact"/>
        <w:rPr>
          <w:sz w:val="20"/>
          <w:szCs w:val="20"/>
          <w:color w:val="auto"/>
        </w:rPr>
      </w:pPr>
    </w:p>
    <w:p>
      <w:pPr>
        <w:ind w:left="700" w:right="340" w:hanging="377"/>
        <w:spacing w:after="0" w:line="181" w:lineRule="auto"/>
        <w:rPr>
          <w:sz w:val="20"/>
          <w:szCs w:val="20"/>
          <w:color w:val="auto"/>
        </w:rPr>
      </w:pPr>
      <w:r>
        <w:rPr>
          <w:rFonts w:ascii="Arial" w:cs="Arial" w:eastAsia="Arial" w:hAnsi="Arial"/>
          <w:sz w:val="57"/>
          <w:szCs w:val="57"/>
          <w:b w:val="1"/>
          <w:bCs w:val="1"/>
          <w:color w:val="auto"/>
          <w:vertAlign w:val="subscript"/>
        </w:rPr>
        <w:t>3.</w:t>
      </w:r>
      <w:r>
        <w:rPr>
          <w:rFonts w:ascii="Arial" w:cs="Arial" w:eastAsia="Arial" w:hAnsi="Arial"/>
          <w:sz w:val="16"/>
          <w:szCs w:val="16"/>
          <w:color w:val="auto"/>
        </w:rPr>
        <w:t xml:space="preserve"> To approve, on an advisory basis, the compensation of the Company’s named executive officers, as described in the proxy statement under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-323215</wp:posOffset>
            </wp:positionV>
            <wp:extent cx="5966460" cy="402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966460" cy="402590"/>
                    </a:xfrm>
                    <a:prstGeom prst="rect">
                      <a:avLst/>
                    </a:prstGeom>
                    <a:noFill/>
                  </pic:spPr>
                </pic:pic>
              </a:graphicData>
            </a:graphic>
          </wp:anchor>
        </w:drawing>
      </w:r>
    </w:p>
    <w:p>
      <w:pPr>
        <w:ind w:left="340"/>
        <w:spacing w:after="0" w:line="216" w:lineRule="auto"/>
        <w:rPr>
          <w:sz w:val="20"/>
          <w:szCs w:val="20"/>
          <w:color w:val="auto"/>
        </w:rPr>
      </w:pPr>
      <w:r>
        <w:rPr>
          <w:rFonts w:ascii="Arial" w:cs="Arial" w:eastAsia="Arial" w:hAnsi="Arial"/>
          <w:sz w:val="64"/>
          <w:szCs w:val="64"/>
          <w:b w:val="1"/>
          <w:bCs w:val="1"/>
          <w:color w:val="auto"/>
          <w:vertAlign w:val="subscript"/>
        </w:rPr>
        <w:t>4.</w:t>
      </w:r>
      <w:r>
        <w:rPr>
          <w:rFonts w:ascii="Arial" w:cs="Arial" w:eastAsia="Arial" w:hAnsi="Arial"/>
          <w:sz w:val="16"/>
          <w:szCs w:val="16"/>
          <w:color w:val="auto"/>
        </w:rPr>
        <w:t xml:space="preserve"> To</w:t>
      </w:r>
      <w:r>
        <w:rPr>
          <w:rFonts w:ascii="Arial" w:cs="Arial" w:eastAsia="Arial" w:hAnsi="Arial"/>
          <w:sz w:val="32"/>
          <w:szCs w:val="32"/>
          <w:color w:val="auto"/>
          <w:vertAlign w:val="subscript"/>
        </w:rPr>
        <w:t>thereof.</w:t>
      </w:r>
      <w:r>
        <w:rPr>
          <w:rFonts w:ascii="Arial" w:cs="Arial" w:eastAsia="Arial" w:hAnsi="Arial"/>
          <w:sz w:val="16"/>
          <w:szCs w:val="16"/>
          <w:color w:val="auto"/>
        </w:rPr>
        <w:t>transact such other business as may properly come before the meeting or any postponement or adjournment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44450</wp:posOffset>
            </wp:positionV>
            <wp:extent cx="59664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65"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Holders of the Company’s Common Stock and Class A Common Stock of record at the close of business on April 24, 2026, are entitled to notice of, and to vote at, the Annual Meeting of Shareholders or any postponements or adjournments thereof.</w:t>
      </w:r>
    </w:p>
    <w:p>
      <w:pPr>
        <w:spacing w:after="0" w:line="102" w:lineRule="exact"/>
        <w:rPr>
          <w:sz w:val="20"/>
          <w:szCs w:val="20"/>
          <w:color w:val="auto"/>
        </w:rPr>
      </w:pPr>
    </w:p>
    <w:p>
      <w:pPr>
        <w:ind w:right="360"/>
        <w:spacing w:after="0" w:line="286" w:lineRule="auto"/>
        <w:rPr>
          <w:sz w:val="20"/>
          <w:szCs w:val="20"/>
          <w:color w:val="auto"/>
        </w:rPr>
      </w:pPr>
      <w:r>
        <w:rPr>
          <w:rFonts w:ascii="Arial" w:cs="Arial" w:eastAsia="Arial" w:hAnsi="Arial"/>
          <w:sz w:val="16"/>
          <w:szCs w:val="16"/>
          <w:color w:val="auto"/>
        </w:rPr>
        <w:t>Again this year, we will furnish proxy materials to our shareholders via the Internet in order to expedite shareholders’ receipt of proxy materials while lowering the cost of delivery and reducing the environmental impact of our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81915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Accordingly, we are mailing to our shareholders of record and beneficial owners a Notice of Internet Availability of Proxy Materials, which provides instructions on how to access the attached proxy statement and our annual report to shareholders for the fiscal year ended January 31, 2026, via the Internet and how to vote online. The Notice of Internet Availability of Proxy Materials also contains instructions on how to obtain the proxy materials in printed form.</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By order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 Mitchell C. Sussis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Secretary and General Counsel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Dated: May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42545</wp:posOffset>
            </wp:positionV>
            <wp:extent cx="5970270" cy="8782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970270" cy="878205"/>
                    </a:xfrm>
                    <a:prstGeom prst="rect">
                      <a:avLst/>
                    </a:prstGeom>
                    <a:noFill/>
                  </pic:spPr>
                </pic:pic>
              </a:graphicData>
            </a:graphic>
          </wp:anchor>
        </w:drawing>
      </w: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D9BA05"/>
        </w:rPr>
        <w:t>YOUR VOTE IS IMPORTANT.</w:t>
      </w:r>
    </w:p>
    <w:p>
      <w:pPr>
        <w:spacing w:after="0" w:line="113" w:lineRule="exact"/>
        <w:rPr>
          <w:sz w:val="20"/>
          <w:szCs w:val="20"/>
          <w:color w:val="auto"/>
        </w:rPr>
      </w:pPr>
    </w:p>
    <w:p>
      <w:pPr>
        <w:jc w:val="center"/>
        <w:ind w:left="1380" w:right="220"/>
        <w:spacing w:after="0" w:line="263" w:lineRule="auto"/>
        <w:rPr>
          <w:sz w:val="20"/>
          <w:szCs w:val="20"/>
          <w:color w:val="auto"/>
        </w:rPr>
      </w:pPr>
      <w:r>
        <w:rPr>
          <w:rFonts w:ascii="Arial" w:cs="Arial" w:eastAsia="Arial" w:hAnsi="Arial"/>
          <w:sz w:val="16"/>
          <w:szCs w:val="16"/>
          <w:b w:val="1"/>
          <w:bCs w:val="1"/>
          <w:color w:val="auto"/>
        </w:rPr>
        <w:t>Regardless of whether you plan to attend the Annual Meeting, please follow the instructions you received to vote your shares as soon as possible, to ensure that your shares are represented at the Annual Meeting. Shareholders of record, or beneficial shareholders named as proxies by their shareholders of record, who attend the meeting may vote their shares during the meeting, even though they have sent in proxies or voted online.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173990</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40" w:top="114" w:right="1339" w:bottom="1440" w:gutter="0" w:footer="0" w:header="0"/>
        </w:sectPr>
      </w:pPr>
    </w:p>
    <w:bookmarkStart w:id="3" w:name="page4"/>
    <w:bookmarkEnd w:id="3"/>
    <w:p>
      <w:pPr>
        <w:ind w:left="8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4754880</wp:posOffset>
            </wp:positionH>
            <wp:positionV relativeFrom="paragraph">
              <wp:posOffset>102870</wp:posOffset>
            </wp:positionV>
            <wp:extent cx="172275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22755" cy="137160"/>
                    </a:xfrm>
                    <a:prstGeom prst="rect">
                      <a:avLst/>
                    </a:prstGeom>
                    <a:noFill/>
                  </pic:spPr>
                </pic:pic>
              </a:graphicData>
            </a:graphic>
          </wp:anchor>
        </w:drawing>
      </w:r>
    </w:p>
    <w:p>
      <w:pPr>
        <w:spacing w:after="0" w:line="344" w:lineRule="exact"/>
        <w:rPr>
          <w:sz w:val="20"/>
          <w:szCs w:val="20"/>
          <w:color w:val="auto"/>
        </w:rPr>
      </w:pPr>
    </w:p>
    <w:p>
      <w:pPr>
        <w:ind w:left="800"/>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391" w:lineRule="exact"/>
        <w:rPr>
          <w:sz w:val="20"/>
          <w:szCs w:val="20"/>
          <w:color w:val="auto"/>
        </w:rPr>
      </w:pPr>
    </w:p>
    <w:p>
      <w:pPr>
        <w:ind w:left="800"/>
        <w:spacing w:after="0"/>
        <w:rPr>
          <w:sz w:val="20"/>
          <w:szCs w:val="20"/>
          <w:color w:val="auto"/>
        </w:rPr>
      </w:pPr>
      <w:r>
        <w:rPr>
          <w:rFonts w:ascii="Arial" w:cs="Arial" w:eastAsia="Arial" w:hAnsi="Arial"/>
          <w:sz w:val="50"/>
          <w:szCs w:val="50"/>
          <w:b w:val="1"/>
          <w:bCs w:val="1"/>
          <w:color w:val="D9BA05"/>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511810</wp:posOffset>
            </wp:positionH>
            <wp:positionV relativeFrom="paragraph">
              <wp:posOffset>69215</wp:posOffset>
            </wp:positionV>
            <wp:extent cx="59664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0" w:type="dxa"/>
            <w:vAlign w:val="bottom"/>
          </w:tcPr>
          <w:p>
            <w:pPr>
              <w:spacing w:after="0"/>
              <w:rPr>
                <w:sz w:val="16"/>
                <w:szCs w:val="16"/>
                <w:color w:val="auto"/>
              </w:rPr>
            </w:pPr>
          </w:p>
        </w:tc>
        <w:tc>
          <w:tcPr>
            <w:tcW w:w="9220" w:type="dxa"/>
            <w:vAlign w:val="bottom"/>
            <w:gridSpan w:val="32"/>
          </w:tcPr>
          <w:p>
            <w:pPr>
              <w:spacing w:after="0"/>
              <w:rPr>
                <w:sz w:val="20"/>
                <w:szCs w:val="20"/>
                <w:color w:val="auto"/>
              </w:rPr>
            </w:pPr>
            <w:r>
              <w:rPr>
                <w:rFonts w:ascii="Arial" w:cs="Arial" w:eastAsia="Arial" w:hAnsi="Arial"/>
                <w:sz w:val="16"/>
                <w:szCs w:val="16"/>
                <w:b w:val="1"/>
                <w:bCs w:val="1"/>
                <w:color w:val="0000EE"/>
              </w:rPr>
              <w:t>Some Questions You May Have Regarding This Proxy Statement</w:t>
            </w:r>
          </w:p>
        </w:tc>
        <w:tc>
          <w:tcPr>
            <w:tcW w:w="160" w:type="dxa"/>
            <w:vAlign w:val="bottom"/>
            <w:gridSpan w:val="2"/>
          </w:tcPr>
          <w:p>
            <w:pPr>
              <w:ind w:left="80"/>
              <w:spacing w:after="0"/>
              <w:rPr>
                <w:sz w:val="20"/>
                <w:szCs w:val="20"/>
                <w:color w:val="auto"/>
              </w:rPr>
            </w:pPr>
            <w:r>
              <w:rPr>
                <w:rFonts w:ascii="Arial" w:cs="Arial" w:eastAsia="Arial" w:hAnsi="Arial"/>
                <w:sz w:val="15"/>
                <w:szCs w:val="15"/>
                <w:b w:val="1"/>
                <w:bCs w:val="1"/>
                <w:color w:val="0000EE"/>
                <w:w w:val="71"/>
              </w:rPr>
              <w:t>1</w:t>
            </w: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9220" w:type="dxa"/>
            <w:vAlign w:val="bottom"/>
            <w:gridSpan w:val="32"/>
          </w:tcPr>
          <w:p>
            <w:pPr>
              <w:spacing w:after="0"/>
              <w:rPr>
                <w:sz w:val="20"/>
                <w:szCs w:val="20"/>
                <w:color w:val="auto"/>
              </w:rPr>
            </w:pPr>
            <w:r>
              <w:rPr>
                <w:rFonts w:ascii="Arial" w:cs="Arial" w:eastAsia="Arial" w:hAnsi="Arial"/>
                <w:sz w:val="16"/>
                <w:szCs w:val="16"/>
                <w:b w:val="1"/>
                <w:bCs w:val="1"/>
                <w:color w:val="0000EE"/>
              </w:rPr>
              <w:t>Security Ownership of Certain Beneficial Owners and Management</w:t>
            </w:r>
          </w:p>
        </w:tc>
        <w:tc>
          <w:tcPr>
            <w:tcW w:w="160" w:type="dxa"/>
            <w:vAlign w:val="bottom"/>
            <w:gridSpan w:val="2"/>
          </w:tcPr>
          <w:p>
            <w:pPr>
              <w:ind w:left="80"/>
              <w:spacing w:after="0"/>
              <w:rPr>
                <w:sz w:val="20"/>
                <w:szCs w:val="20"/>
                <w:color w:val="auto"/>
              </w:rPr>
            </w:pPr>
            <w:r>
              <w:rPr>
                <w:rFonts w:ascii="Arial" w:cs="Arial" w:eastAsia="Arial" w:hAnsi="Arial"/>
                <w:sz w:val="15"/>
                <w:szCs w:val="15"/>
                <w:b w:val="1"/>
                <w:bCs w:val="1"/>
                <w:color w:val="0000EE"/>
                <w:w w:val="71"/>
              </w:rPr>
              <w:t>5</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2680" w:type="dxa"/>
            <w:vAlign w:val="bottom"/>
            <w:gridSpan w:val="12"/>
          </w:tcPr>
          <w:p>
            <w:pPr>
              <w:spacing w:after="0"/>
              <w:rPr>
                <w:sz w:val="20"/>
                <w:szCs w:val="20"/>
                <w:color w:val="auto"/>
              </w:rPr>
            </w:pPr>
            <w:r>
              <w:rPr>
                <w:rFonts w:ascii="Arial" w:cs="Arial" w:eastAsia="Arial" w:hAnsi="Arial"/>
                <w:sz w:val="16"/>
                <w:szCs w:val="16"/>
                <w:b w:val="1"/>
                <w:bCs w:val="1"/>
                <w:color w:val="0000EE"/>
              </w:rPr>
              <w:t>Proposal 1 — Election of Directors</w:t>
            </w:r>
          </w:p>
        </w:tc>
        <w:tc>
          <w:tcPr>
            <w:tcW w:w="2460" w:type="dxa"/>
            <w:vAlign w:val="bottom"/>
            <w:gridSpan w:val="18"/>
          </w:tcPr>
          <w:p>
            <w:pPr>
              <w:spacing w:after="0"/>
              <w:rPr>
                <w:sz w:val="24"/>
                <w:szCs w:val="24"/>
                <w:color w:val="auto"/>
              </w:rPr>
            </w:pPr>
          </w:p>
        </w:tc>
        <w:tc>
          <w:tcPr>
            <w:tcW w:w="4080" w:type="dxa"/>
            <w:vAlign w:val="bottom"/>
            <w:gridSpan w:val="2"/>
          </w:tcPr>
          <w:p>
            <w:pPr>
              <w:spacing w:after="0"/>
              <w:rPr>
                <w:sz w:val="24"/>
                <w:szCs w:val="24"/>
                <w:color w:val="auto"/>
              </w:rPr>
            </w:pPr>
          </w:p>
        </w:tc>
        <w:tc>
          <w:tcPr>
            <w:tcW w:w="160" w:type="dxa"/>
            <w:vAlign w:val="bottom"/>
            <w:gridSpan w:val="2"/>
          </w:tcPr>
          <w:p>
            <w:pPr>
              <w:ind w:left="80"/>
              <w:spacing w:after="0"/>
              <w:rPr>
                <w:sz w:val="20"/>
                <w:szCs w:val="20"/>
                <w:color w:val="auto"/>
              </w:rPr>
            </w:pPr>
            <w:r>
              <w:rPr>
                <w:rFonts w:ascii="Arial" w:cs="Arial" w:eastAsia="Arial" w:hAnsi="Arial"/>
                <w:sz w:val="15"/>
                <w:szCs w:val="15"/>
                <w:b w:val="1"/>
                <w:bCs w:val="1"/>
                <w:color w:val="0000EE"/>
                <w:w w:val="71"/>
              </w:rPr>
              <w:t>7</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3900" w:type="dxa"/>
            <w:vAlign w:val="bottom"/>
            <w:gridSpan w:val="19"/>
          </w:tcPr>
          <w:p>
            <w:pPr>
              <w:spacing w:after="0"/>
              <w:rPr>
                <w:sz w:val="20"/>
                <w:szCs w:val="20"/>
                <w:color w:val="auto"/>
              </w:rPr>
            </w:pPr>
            <w:r>
              <w:rPr>
                <w:rFonts w:ascii="Arial" w:cs="Arial" w:eastAsia="Arial" w:hAnsi="Arial"/>
                <w:sz w:val="16"/>
                <w:szCs w:val="16"/>
                <w:b w:val="1"/>
                <w:bCs w:val="1"/>
                <w:color w:val="0000EE"/>
              </w:rPr>
              <w:t>The Board of Directors and Corporate Governance</w:t>
            </w:r>
          </w:p>
        </w:tc>
        <w:tc>
          <w:tcPr>
            <w:tcW w:w="5320" w:type="dxa"/>
            <w:vAlign w:val="bottom"/>
            <w:gridSpan w:val="13"/>
          </w:tcPr>
          <w:p>
            <w:pPr>
              <w:spacing w:after="0"/>
              <w:rPr>
                <w:sz w:val="24"/>
                <w:szCs w:val="24"/>
                <w:color w:val="auto"/>
              </w:rPr>
            </w:pPr>
          </w:p>
        </w:tc>
        <w:tc>
          <w:tcPr>
            <w:tcW w:w="180" w:type="dxa"/>
            <w:vAlign w:val="bottom"/>
            <w:gridSpan w:val="3"/>
          </w:tcPr>
          <w:p>
            <w:pPr>
              <w:spacing w:after="0"/>
              <w:rPr>
                <w:sz w:val="20"/>
                <w:szCs w:val="20"/>
                <w:color w:val="auto"/>
              </w:rPr>
            </w:pPr>
            <w:r>
              <w:rPr>
                <w:rFonts w:ascii="Arial" w:cs="Arial" w:eastAsia="Arial" w:hAnsi="Arial"/>
                <w:sz w:val="16"/>
                <w:szCs w:val="16"/>
                <w:b w:val="1"/>
                <w:bCs w:val="1"/>
                <w:color w:val="0000EE"/>
                <w:w w:val="89"/>
              </w:rPr>
              <w:t>11</w:t>
            </w:r>
          </w:p>
        </w:tc>
        <w:tc>
          <w:tcPr>
            <w:tcW w:w="820" w:type="dxa"/>
            <w:vAlign w:val="bottom"/>
          </w:tcPr>
          <w:p>
            <w:pPr>
              <w:spacing w:after="0"/>
              <w:rPr>
                <w:sz w:val="24"/>
                <w:szCs w:val="24"/>
                <w:color w:val="auto"/>
              </w:rPr>
            </w:pPr>
          </w:p>
        </w:tc>
      </w:tr>
      <w:tr>
        <w:trPr>
          <w:trHeight w:val="20"/>
        </w:trPr>
        <w:tc>
          <w:tcPr>
            <w:tcW w:w="8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1420" w:type="dxa"/>
            <w:vAlign w:val="bottom"/>
            <w:tcBorders>
              <w:bottom w:val="single" w:sz="8" w:color="0000EE"/>
            </w:tcBorders>
            <w:gridSpan w:val="4"/>
          </w:tcPr>
          <w:p>
            <w:pPr>
              <w:spacing w:after="0"/>
              <w:rPr>
                <w:sz w:val="20"/>
                <w:szCs w:val="20"/>
                <w:color w:val="auto"/>
              </w:rPr>
            </w:pPr>
            <w:r>
              <w:rPr>
                <w:rFonts w:ascii="Arial" w:cs="Arial" w:eastAsia="Arial" w:hAnsi="Arial"/>
                <w:sz w:val="16"/>
                <w:szCs w:val="16"/>
                <w:b w:val="1"/>
                <w:bCs w:val="1"/>
                <w:color w:val="0000EE"/>
              </w:rPr>
              <w:t>Executive Officers</w:t>
            </w:r>
          </w:p>
        </w:tc>
        <w:tc>
          <w:tcPr>
            <w:tcW w:w="2480" w:type="dxa"/>
            <w:vAlign w:val="bottom"/>
            <w:gridSpan w:val="15"/>
          </w:tcPr>
          <w:p>
            <w:pPr>
              <w:spacing w:after="0"/>
              <w:rPr>
                <w:sz w:val="24"/>
                <w:szCs w:val="24"/>
                <w:color w:val="auto"/>
              </w:rPr>
            </w:pPr>
          </w:p>
        </w:tc>
        <w:tc>
          <w:tcPr>
            <w:tcW w:w="5320" w:type="dxa"/>
            <w:vAlign w:val="bottom"/>
            <w:gridSpan w:val="13"/>
          </w:tcPr>
          <w:p>
            <w:pPr>
              <w:spacing w:after="0"/>
              <w:rPr>
                <w:sz w:val="24"/>
                <w:szCs w:val="24"/>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89"/>
              </w:rPr>
              <w:t>17</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1940" w:type="dxa"/>
            <w:vAlign w:val="bottom"/>
            <w:tcBorders>
              <w:bottom w:val="single" w:sz="8" w:color="0000EE"/>
            </w:tcBorders>
            <w:gridSpan w:val="7"/>
          </w:tcPr>
          <w:p>
            <w:pPr>
              <w:spacing w:after="0"/>
              <w:rPr>
                <w:sz w:val="20"/>
                <w:szCs w:val="20"/>
                <w:color w:val="auto"/>
              </w:rPr>
            </w:pPr>
            <w:r>
              <w:rPr>
                <w:rFonts w:ascii="Arial" w:cs="Arial" w:eastAsia="Arial" w:hAnsi="Arial"/>
                <w:sz w:val="16"/>
                <w:szCs w:val="16"/>
                <w:b w:val="1"/>
                <w:bCs w:val="1"/>
                <w:color w:val="0000EE"/>
              </w:rPr>
              <w:t>Executive Compensation</w:t>
            </w:r>
          </w:p>
        </w:tc>
        <w:tc>
          <w:tcPr>
            <w:tcW w:w="7280" w:type="dxa"/>
            <w:vAlign w:val="bottom"/>
            <w:gridSpan w:val="25"/>
          </w:tcPr>
          <w:p>
            <w:pPr>
              <w:spacing w:after="0"/>
              <w:rPr>
                <w:sz w:val="24"/>
                <w:szCs w:val="24"/>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89"/>
              </w:rPr>
              <w:t>19</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40" w:type="dxa"/>
            <w:vAlign w:val="bottom"/>
            <w:gridSpan w:val="31"/>
          </w:tcPr>
          <w:p>
            <w:pPr>
              <w:spacing w:after="0"/>
              <w:rPr>
                <w:sz w:val="20"/>
                <w:szCs w:val="20"/>
                <w:color w:val="auto"/>
              </w:rPr>
            </w:pPr>
            <w:r>
              <w:rPr>
                <w:rFonts w:ascii="Arial" w:cs="Arial" w:eastAsia="Arial" w:hAnsi="Arial"/>
                <w:sz w:val="16"/>
                <w:szCs w:val="16"/>
                <w:b w:val="1"/>
                <w:bCs w:val="1"/>
                <w:color w:val="0000EE"/>
              </w:rPr>
              <w:t>A Letter from the Chair of the Compensation and Human Capital Committee</w:t>
            </w:r>
          </w:p>
        </w:tc>
        <w:tc>
          <w:tcPr>
            <w:tcW w:w="1000" w:type="dxa"/>
            <w:vAlign w:val="bottom"/>
            <w:gridSpan w:val="4"/>
          </w:tcPr>
          <w:p>
            <w:pPr>
              <w:spacing w:after="0"/>
              <w:rPr>
                <w:sz w:val="20"/>
                <w:szCs w:val="20"/>
                <w:color w:val="auto"/>
              </w:rPr>
            </w:pPr>
            <w:r>
              <w:rPr>
                <w:rFonts w:ascii="Arial" w:cs="Arial" w:eastAsia="Arial" w:hAnsi="Arial"/>
                <w:sz w:val="16"/>
                <w:szCs w:val="16"/>
                <w:b w:val="1"/>
                <w:bCs w:val="1"/>
                <w:color w:val="0000EE"/>
              </w:rPr>
              <w:t>19</w:t>
            </w:r>
          </w:p>
        </w:tc>
      </w:tr>
      <w:tr>
        <w:trPr>
          <w:trHeight w:val="318"/>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20" w:type="dxa"/>
            <w:vAlign w:val="bottom"/>
            <w:tcBorders>
              <w:top w:val="single" w:sz="8" w:color="0000EE"/>
            </w:tcBorders>
            <w:gridSpan w:val="30"/>
          </w:tcPr>
          <w:p>
            <w:pPr>
              <w:spacing w:after="0"/>
              <w:rPr>
                <w:sz w:val="20"/>
                <w:szCs w:val="20"/>
                <w:color w:val="auto"/>
              </w:rPr>
            </w:pPr>
            <w:r>
              <w:rPr>
                <w:rFonts w:ascii="Arial" w:cs="Arial" w:eastAsia="Arial" w:hAnsi="Arial"/>
                <w:sz w:val="16"/>
                <w:szCs w:val="16"/>
                <w:b w:val="1"/>
                <w:bCs w:val="1"/>
                <w:color w:val="0000EE"/>
              </w:rPr>
              <w:t>Compensation Discussion and Analysis</w:t>
            </w:r>
          </w:p>
        </w:tc>
        <w:tc>
          <w:tcPr>
            <w:tcW w:w="3220" w:type="dxa"/>
            <w:vAlign w:val="bottom"/>
          </w:tcPr>
          <w:p>
            <w:pPr>
              <w:spacing w:after="0"/>
              <w:rPr>
                <w:sz w:val="24"/>
                <w:szCs w:val="24"/>
                <w:color w:val="auto"/>
              </w:rPr>
            </w:pPr>
          </w:p>
        </w:tc>
        <w:tc>
          <w:tcPr>
            <w:tcW w:w="180" w:type="dxa"/>
            <w:vAlign w:val="bottom"/>
            <w:tcBorders>
              <w:top w:val="single" w:sz="8" w:color="0000EE"/>
            </w:tcBorders>
            <w:gridSpan w:val="3"/>
          </w:tcPr>
          <w:p>
            <w:pPr>
              <w:spacing w:after="0"/>
              <w:rPr>
                <w:sz w:val="20"/>
                <w:szCs w:val="20"/>
                <w:color w:val="auto"/>
              </w:rPr>
            </w:pPr>
            <w:r>
              <w:rPr>
                <w:rFonts w:ascii="Arial" w:cs="Arial" w:eastAsia="Arial" w:hAnsi="Arial"/>
                <w:sz w:val="16"/>
                <w:szCs w:val="16"/>
                <w:b w:val="1"/>
                <w:bCs w:val="1"/>
                <w:color w:val="0000EE"/>
                <w:w w:val="89"/>
              </w:rPr>
              <w:t>21</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600" w:type="dxa"/>
            <w:vAlign w:val="bottom"/>
            <w:tcBorders>
              <w:top w:val="single" w:sz="8" w:color="0000EE"/>
              <w:bottom w:val="single" w:sz="8" w:color="0000EE"/>
            </w:tcBorders>
            <w:gridSpan w:val="6"/>
          </w:tcPr>
          <w:p>
            <w:pPr>
              <w:spacing w:after="0"/>
              <w:rPr>
                <w:sz w:val="20"/>
                <w:szCs w:val="20"/>
                <w:color w:val="auto"/>
              </w:rPr>
            </w:pPr>
            <w:r>
              <w:rPr>
                <w:rFonts w:ascii="Arial" w:cs="Arial" w:eastAsia="Arial" w:hAnsi="Arial"/>
                <w:sz w:val="16"/>
                <w:szCs w:val="16"/>
                <w:color w:val="0000EE"/>
              </w:rPr>
              <w:t>Fiscal 2026 Highlights</w:t>
            </w:r>
          </w:p>
        </w:tc>
        <w:tc>
          <w:tcPr>
            <w:tcW w:w="1300" w:type="dxa"/>
            <w:vAlign w:val="bottom"/>
            <w:tcBorders>
              <w:top w:val="single" w:sz="8" w:color="0000EE"/>
            </w:tcBorders>
            <w:gridSpan w:val="6"/>
          </w:tcPr>
          <w:p>
            <w:pPr>
              <w:spacing w:after="0"/>
              <w:rPr>
                <w:sz w:val="24"/>
                <w:szCs w:val="24"/>
                <w:color w:val="auto"/>
              </w:rPr>
            </w:pPr>
          </w:p>
        </w:tc>
        <w:tc>
          <w:tcPr>
            <w:tcW w:w="5960" w:type="dxa"/>
            <w:vAlign w:val="bottom"/>
            <w:gridSpan w:val="18"/>
          </w:tcPr>
          <w:p>
            <w:pPr>
              <w:spacing w:after="0"/>
              <w:rPr>
                <w:sz w:val="24"/>
                <w:szCs w:val="24"/>
                <w:color w:val="auto"/>
              </w:rPr>
            </w:pPr>
          </w:p>
        </w:tc>
        <w:tc>
          <w:tcPr>
            <w:tcW w:w="1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color w:val="0000EE"/>
                <w:w w:val="89"/>
              </w:rPr>
              <w:t>21</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Borders>
              <w:bottom w:val="single" w:sz="8" w:color="0000EE"/>
            </w:tcBorders>
            <w:gridSpan w:val="24"/>
          </w:tcPr>
          <w:p>
            <w:pPr>
              <w:spacing w:after="0"/>
              <w:rPr>
                <w:sz w:val="20"/>
                <w:szCs w:val="20"/>
                <w:color w:val="auto"/>
              </w:rPr>
            </w:pPr>
            <w:r>
              <w:rPr>
                <w:rFonts w:ascii="Arial" w:cs="Arial" w:eastAsia="Arial" w:hAnsi="Arial"/>
                <w:sz w:val="16"/>
                <w:szCs w:val="16"/>
                <w:color w:val="0000EE"/>
              </w:rPr>
              <w:t>Role of the Compensation and Human Capital Committee</w:t>
            </w:r>
          </w:p>
        </w:tc>
        <w:tc>
          <w:tcPr>
            <w:tcW w:w="4720" w:type="dxa"/>
            <w:vAlign w:val="bottom"/>
            <w:gridSpan w:val="6"/>
          </w:tcPr>
          <w:p>
            <w:pPr>
              <w:spacing w:after="0"/>
              <w:rPr>
                <w:sz w:val="24"/>
                <w:szCs w:val="24"/>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89"/>
              </w:rPr>
              <w:t>23</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Borders>
              <w:bottom w:val="single" w:sz="8" w:color="0000EE"/>
            </w:tcBorders>
            <w:gridSpan w:val="8"/>
          </w:tcPr>
          <w:p>
            <w:pPr>
              <w:spacing w:after="0"/>
              <w:rPr>
                <w:sz w:val="20"/>
                <w:szCs w:val="20"/>
                <w:color w:val="auto"/>
              </w:rPr>
            </w:pPr>
            <w:r>
              <w:rPr>
                <w:rFonts w:ascii="Arial" w:cs="Arial" w:eastAsia="Arial" w:hAnsi="Arial"/>
                <w:sz w:val="16"/>
                <w:szCs w:val="16"/>
                <w:color w:val="0000EE"/>
              </w:rPr>
              <w:t>Compensation Objectives</w:t>
            </w:r>
          </w:p>
        </w:tc>
        <w:tc>
          <w:tcPr>
            <w:tcW w:w="7000" w:type="dxa"/>
            <w:vAlign w:val="bottom"/>
            <w:gridSpan w:val="22"/>
          </w:tcPr>
          <w:p>
            <w:pPr>
              <w:spacing w:after="0"/>
              <w:rPr>
                <w:sz w:val="24"/>
                <w:szCs w:val="24"/>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89"/>
              </w:rPr>
              <w:t>23</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60" w:type="dxa"/>
            <w:vAlign w:val="bottom"/>
            <w:gridSpan w:val="30"/>
          </w:tcPr>
          <w:p>
            <w:pPr>
              <w:spacing w:after="0"/>
              <w:rPr>
                <w:sz w:val="20"/>
                <w:szCs w:val="20"/>
                <w:color w:val="auto"/>
              </w:rPr>
            </w:pPr>
            <w:r>
              <w:rPr>
                <w:rFonts w:ascii="Arial" w:cs="Arial" w:eastAsia="Arial" w:hAnsi="Arial"/>
                <w:sz w:val="16"/>
                <w:szCs w:val="16"/>
                <w:color w:val="0000EE"/>
              </w:rPr>
              <w:t>Setting Executive Compensation</w:t>
            </w:r>
          </w:p>
        </w:tc>
        <w:tc>
          <w:tcPr>
            <w:tcW w:w="1000" w:type="dxa"/>
            <w:vAlign w:val="bottom"/>
            <w:gridSpan w:val="4"/>
          </w:tcPr>
          <w:p>
            <w:pPr>
              <w:spacing w:after="0"/>
              <w:rPr>
                <w:sz w:val="20"/>
                <w:szCs w:val="20"/>
                <w:color w:val="auto"/>
              </w:rPr>
            </w:pPr>
            <w:r>
              <w:rPr>
                <w:rFonts w:ascii="Arial" w:cs="Arial" w:eastAsia="Arial" w:hAnsi="Arial"/>
                <w:sz w:val="16"/>
                <w:szCs w:val="16"/>
                <w:color w:val="0000EE"/>
              </w:rPr>
              <w:t>24</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40" w:type="dxa"/>
            <w:vAlign w:val="bottom"/>
            <w:tcBorders>
              <w:bottom w:val="single" w:sz="8" w:color="0000EE"/>
            </w:tcBorders>
            <w:gridSpan w:val="18"/>
          </w:tcPr>
          <w:p>
            <w:pPr>
              <w:spacing w:after="0"/>
              <w:rPr>
                <w:sz w:val="20"/>
                <w:szCs w:val="20"/>
                <w:color w:val="auto"/>
              </w:rPr>
            </w:pPr>
            <w:r>
              <w:rPr>
                <w:rFonts w:ascii="Arial" w:cs="Arial" w:eastAsia="Arial" w:hAnsi="Arial"/>
                <w:sz w:val="16"/>
                <w:szCs w:val="16"/>
                <w:color w:val="0000EE"/>
              </w:rPr>
              <w:t>Fiscal 2026 Executive Compensation Components</w:t>
            </w:r>
          </w:p>
        </w:tc>
        <w:tc>
          <w:tcPr>
            <w:tcW w:w="5220" w:type="dxa"/>
            <w:vAlign w:val="bottom"/>
            <w:gridSpan w:val="12"/>
          </w:tcPr>
          <w:p>
            <w:pPr>
              <w:spacing w:after="0"/>
              <w:rPr>
                <w:sz w:val="24"/>
                <w:szCs w:val="24"/>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89"/>
              </w:rPr>
              <w:t>24</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20" w:type="dxa"/>
            <w:vAlign w:val="bottom"/>
            <w:tcBorders>
              <w:bottom w:val="single" w:sz="8" w:color="0000EE"/>
            </w:tcBorders>
            <w:gridSpan w:val="10"/>
          </w:tcPr>
          <w:p>
            <w:pPr>
              <w:spacing w:after="0"/>
              <w:rPr>
                <w:sz w:val="20"/>
                <w:szCs w:val="20"/>
                <w:color w:val="auto"/>
              </w:rPr>
            </w:pPr>
            <w:r>
              <w:rPr>
                <w:rFonts w:ascii="Arial" w:cs="Arial" w:eastAsia="Arial" w:hAnsi="Arial"/>
                <w:sz w:val="16"/>
                <w:szCs w:val="16"/>
                <w:color w:val="0000EE"/>
                <w:w w:val="98"/>
              </w:rPr>
              <w:t>Tax and Accounting Implications</w:t>
            </w:r>
          </w:p>
        </w:tc>
        <w:tc>
          <w:tcPr>
            <w:tcW w:w="6540" w:type="dxa"/>
            <w:vAlign w:val="bottom"/>
            <w:gridSpan w:val="20"/>
          </w:tcPr>
          <w:p>
            <w:pPr>
              <w:spacing w:after="0"/>
              <w:rPr>
                <w:sz w:val="24"/>
                <w:szCs w:val="24"/>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color w:val="0000EE"/>
                <w:w w:val="89"/>
              </w:rPr>
              <w:t>27</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00" w:type="dxa"/>
            <w:vAlign w:val="bottom"/>
            <w:tcBorders>
              <w:bottom w:val="single" w:sz="8" w:color="0000EE"/>
            </w:tcBorders>
            <w:gridSpan w:val="21"/>
          </w:tcPr>
          <w:p>
            <w:pPr>
              <w:spacing w:after="0"/>
              <w:rPr>
                <w:sz w:val="20"/>
                <w:szCs w:val="20"/>
                <w:color w:val="auto"/>
              </w:rPr>
            </w:pPr>
            <w:r>
              <w:rPr>
                <w:rFonts w:ascii="Arial" w:cs="Arial" w:eastAsia="Arial" w:hAnsi="Arial"/>
                <w:sz w:val="16"/>
                <w:szCs w:val="16"/>
                <w:b w:val="1"/>
                <w:bCs w:val="1"/>
                <w:color w:val="0000EE"/>
              </w:rPr>
              <w:t>Compensation and Human Capital Committee Report</w:t>
            </w:r>
          </w:p>
        </w:tc>
        <w:tc>
          <w:tcPr>
            <w:tcW w:w="4940" w:type="dxa"/>
            <w:vAlign w:val="bottom"/>
            <w:gridSpan w:val="10"/>
          </w:tcPr>
          <w:p>
            <w:pPr>
              <w:spacing w:after="0"/>
              <w:rPr>
                <w:sz w:val="24"/>
                <w:szCs w:val="24"/>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89"/>
              </w:rPr>
              <w:t>28</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40" w:type="dxa"/>
            <w:vAlign w:val="bottom"/>
            <w:gridSpan w:val="31"/>
          </w:tcPr>
          <w:p>
            <w:pPr>
              <w:spacing w:after="0"/>
              <w:rPr>
                <w:sz w:val="20"/>
                <w:szCs w:val="20"/>
                <w:color w:val="auto"/>
              </w:rPr>
            </w:pPr>
            <w:r>
              <w:rPr>
                <w:rFonts w:ascii="Arial" w:cs="Arial" w:eastAsia="Arial" w:hAnsi="Arial"/>
                <w:sz w:val="16"/>
                <w:szCs w:val="16"/>
                <w:b w:val="1"/>
                <w:bCs w:val="1"/>
                <w:color w:val="0000EE"/>
              </w:rPr>
              <w:t>Summary Compensation Table for Fiscal 2026</w:t>
            </w:r>
          </w:p>
        </w:tc>
        <w:tc>
          <w:tcPr>
            <w:tcW w:w="1000" w:type="dxa"/>
            <w:vAlign w:val="bottom"/>
            <w:gridSpan w:val="4"/>
          </w:tcPr>
          <w:p>
            <w:pPr>
              <w:spacing w:after="0"/>
              <w:rPr>
                <w:sz w:val="20"/>
                <w:szCs w:val="20"/>
                <w:color w:val="auto"/>
              </w:rPr>
            </w:pPr>
            <w:r>
              <w:rPr>
                <w:rFonts w:ascii="Arial" w:cs="Arial" w:eastAsia="Arial" w:hAnsi="Arial"/>
                <w:sz w:val="16"/>
                <w:szCs w:val="16"/>
                <w:b w:val="1"/>
                <w:bCs w:val="1"/>
                <w:color w:val="0000EE"/>
              </w:rPr>
              <w:t>29</w:t>
            </w:r>
          </w:p>
        </w:tc>
      </w:tr>
      <w:tr>
        <w:trPr>
          <w:trHeight w:val="318"/>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80" w:type="dxa"/>
            <w:vAlign w:val="bottom"/>
            <w:tcBorders>
              <w:top w:val="single" w:sz="8" w:color="0000EE"/>
              <w:bottom w:val="single" w:sz="8" w:color="0000EE"/>
            </w:tcBorders>
            <w:gridSpan w:val="14"/>
          </w:tcPr>
          <w:p>
            <w:pPr>
              <w:spacing w:after="0"/>
              <w:rPr>
                <w:sz w:val="20"/>
                <w:szCs w:val="20"/>
                <w:color w:val="auto"/>
              </w:rPr>
            </w:pPr>
            <w:r>
              <w:rPr>
                <w:rFonts w:ascii="Arial" w:cs="Arial" w:eastAsia="Arial" w:hAnsi="Arial"/>
                <w:sz w:val="16"/>
                <w:szCs w:val="16"/>
                <w:b w:val="1"/>
                <w:bCs w:val="1"/>
                <w:color w:val="0000EE"/>
              </w:rPr>
              <w:t>Grants of Plan-Based Awards in Fiscal 2026</w:t>
            </w:r>
          </w:p>
        </w:tc>
        <w:tc>
          <w:tcPr>
            <w:tcW w:w="160" w:type="dxa"/>
            <w:vAlign w:val="bottom"/>
            <w:tcBorders>
              <w:top w:val="single" w:sz="8" w:color="0000EE"/>
            </w:tcBorders>
            <w:gridSpan w:val="3"/>
          </w:tcPr>
          <w:p>
            <w:pPr>
              <w:spacing w:after="0"/>
              <w:rPr>
                <w:sz w:val="24"/>
                <w:szCs w:val="24"/>
                <w:color w:val="auto"/>
              </w:rPr>
            </w:pPr>
          </w:p>
        </w:tc>
        <w:tc>
          <w:tcPr>
            <w:tcW w:w="5500" w:type="dxa"/>
            <w:vAlign w:val="bottom"/>
            <w:gridSpan w:val="14"/>
          </w:tcPr>
          <w:p>
            <w:pPr>
              <w:spacing w:after="0"/>
              <w:rPr>
                <w:sz w:val="24"/>
                <w:szCs w:val="24"/>
                <w:color w:val="auto"/>
              </w:rPr>
            </w:pPr>
          </w:p>
        </w:tc>
        <w:tc>
          <w:tcPr>
            <w:tcW w:w="1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89"/>
              </w:rPr>
              <w:t>30</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980" w:type="dxa"/>
            <w:vAlign w:val="bottom"/>
            <w:tcBorders>
              <w:bottom w:val="single" w:sz="8" w:color="0000EE"/>
            </w:tcBorders>
            <w:gridSpan w:val="20"/>
          </w:tcPr>
          <w:p>
            <w:pPr>
              <w:spacing w:after="0"/>
              <w:rPr>
                <w:sz w:val="20"/>
                <w:szCs w:val="20"/>
                <w:color w:val="auto"/>
              </w:rPr>
            </w:pPr>
            <w:r>
              <w:rPr>
                <w:rFonts w:ascii="Arial" w:cs="Arial" w:eastAsia="Arial" w:hAnsi="Arial"/>
                <w:sz w:val="16"/>
                <w:szCs w:val="16"/>
                <w:b w:val="1"/>
                <w:bCs w:val="1"/>
                <w:color w:val="0000EE"/>
              </w:rPr>
              <w:t>Outstanding Equity Awards at Fiscal 2026 Year-End</w:t>
            </w:r>
          </w:p>
        </w:tc>
        <w:tc>
          <w:tcPr>
            <w:tcW w:w="5060" w:type="dxa"/>
            <w:vAlign w:val="bottom"/>
            <w:gridSpan w:val="11"/>
          </w:tcPr>
          <w:p>
            <w:pPr>
              <w:spacing w:after="0"/>
              <w:rPr>
                <w:sz w:val="24"/>
                <w:szCs w:val="24"/>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89"/>
              </w:rPr>
              <w:t>31</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0" w:type="dxa"/>
            <w:vAlign w:val="bottom"/>
            <w:tcBorders>
              <w:bottom w:val="single" w:sz="8" w:color="0000EE"/>
            </w:tcBorders>
            <w:gridSpan w:val="23"/>
          </w:tcPr>
          <w:p>
            <w:pPr>
              <w:spacing w:after="0"/>
              <w:rPr>
                <w:sz w:val="20"/>
                <w:szCs w:val="20"/>
                <w:color w:val="auto"/>
              </w:rPr>
            </w:pPr>
            <w:r>
              <w:rPr>
                <w:rFonts w:ascii="Arial" w:cs="Arial" w:eastAsia="Arial" w:hAnsi="Arial"/>
                <w:sz w:val="16"/>
                <w:szCs w:val="16"/>
                <w:b w:val="1"/>
                <w:bCs w:val="1"/>
                <w:color w:val="0000EE"/>
              </w:rPr>
              <w:t>Option Exercises and Stock Vested During Fiscal 2026</w:t>
            </w:r>
          </w:p>
        </w:tc>
        <w:tc>
          <w:tcPr>
            <w:tcW w:w="4840" w:type="dxa"/>
            <w:vAlign w:val="bottom"/>
            <w:gridSpan w:val="8"/>
          </w:tcPr>
          <w:p>
            <w:pPr>
              <w:spacing w:after="0"/>
              <w:rPr>
                <w:sz w:val="24"/>
                <w:szCs w:val="24"/>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89"/>
              </w:rPr>
              <w:t>32</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40" w:type="dxa"/>
            <w:vAlign w:val="bottom"/>
            <w:gridSpan w:val="31"/>
          </w:tcPr>
          <w:p>
            <w:pPr>
              <w:spacing w:after="0"/>
              <w:rPr>
                <w:sz w:val="20"/>
                <w:szCs w:val="20"/>
                <w:color w:val="auto"/>
              </w:rPr>
            </w:pPr>
            <w:r>
              <w:rPr>
                <w:rFonts w:ascii="Arial" w:cs="Arial" w:eastAsia="Arial" w:hAnsi="Arial"/>
                <w:sz w:val="16"/>
                <w:szCs w:val="16"/>
                <w:b w:val="1"/>
                <w:bCs w:val="1"/>
                <w:color w:val="0000EE"/>
              </w:rPr>
              <w:t>Nonqualified Deferred Compensation</w:t>
            </w:r>
          </w:p>
        </w:tc>
        <w:tc>
          <w:tcPr>
            <w:tcW w:w="1000" w:type="dxa"/>
            <w:vAlign w:val="bottom"/>
            <w:gridSpan w:val="4"/>
          </w:tcPr>
          <w:p>
            <w:pPr>
              <w:spacing w:after="0"/>
              <w:rPr>
                <w:sz w:val="20"/>
                <w:szCs w:val="20"/>
                <w:color w:val="auto"/>
              </w:rPr>
            </w:pPr>
            <w:r>
              <w:rPr>
                <w:rFonts w:ascii="Arial" w:cs="Arial" w:eastAsia="Arial" w:hAnsi="Arial"/>
                <w:sz w:val="16"/>
                <w:szCs w:val="16"/>
                <w:b w:val="1"/>
                <w:bCs w:val="1"/>
                <w:color w:val="0000EE"/>
              </w:rPr>
              <w:t>32</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80" w:type="dxa"/>
            <w:vAlign w:val="bottom"/>
            <w:tcBorders>
              <w:right w:val="single" w:sz="8" w:color="0000EE"/>
            </w:tcBorders>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7"/>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60" w:type="dxa"/>
            <w:vAlign w:val="bottom"/>
            <w:tcBorders>
              <w:bottom w:val="single" w:sz="8" w:color="0000EE"/>
            </w:tcBorders>
            <w:gridSpan w:val="26"/>
          </w:tcPr>
          <w:p>
            <w:pPr>
              <w:spacing w:after="0"/>
              <w:rPr>
                <w:sz w:val="20"/>
                <w:szCs w:val="20"/>
                <w:color w:val="auto"/>
              </w:rPr>
            </w:pPr>
            <w:r>
              <w:rPr>
                <w:rFonts w:ascii="Arial" w:cs="Arial" w:eastAsia="Arial" w:hAnsi="Arial"/>
                <w:sz w:val="16"/>
                <w:szCs w:val="16"/>
                <w:b w:val="1"/>
                <w:bCs w:val="1"/>
                <w:color w:val="0000EE"/>
              </w:rPr>
              <w:t>Potential Payments on Termination or Change in Control</w:t>
            </w:r>
          </w:p>
        </w:tc>
        <w:tc>
          <w:tcPr>
            <w:tcW w:w="4680" w:type="dxa"/>
            <w:vAlign w:val="bottom"/>
            <w:gridSpan w:val="5"/>
          </w:tcPr>
          <w:p>
            <w:pPr>
              <w:spacing w:after="0"/>
              <w:rPr>
                <w:sz w:val="24"/>
                <w:szCs w:val="24"/>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89"/>
              </w:rPr>
              <w:t>34</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b w:val="1"/>
                <w:bCs w:val="1"/>
                <w:color w:val="0000EE"/>
              </w:rPr>
              <w:t>Pay Ratio Disclosure</w:t>
            </w:r>
          </w:p>
        </w:tc>
        <w:tc>
          <w:tcPr>
            <w:tcW w:w="7400" w:type="dxa"/>
            <w:vAlign w:val="bottom"/>
            <w:gridSpan w:val="26"/>
          </w:tcPr>
          <w:p>
            <w:pPr>
              <w:spacing w:after="0"/>
              <w:rPr>
                <w:sz w:val="24"/>
                <w:szCs w:val="24"/>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89"/>
              </w:rPr>
              <w:t>36</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40" w:type="dxa"/>
            <w:vAlign w:val="bottom"/>
            <w:gridSpan w:val="31"/>
          </w:tcPr>
          <w:p>
            <w:pPr>
              <w:spacing w:after="0"/>
              <w:rPr>
                <w:sz w:val="20"/>
                <w:szCs w:val="20"/>
                <w:color w:val="auto"/>
              </w:rPr>
            </w:pPr>
            <w:r>
              <w:rPr>
                <w:rFonts w:ascii="Arial" w:cs="Arial" w:eastAsia="Arial" w:hAnsi="Arial"/>
                <w:sz w:val="16"/>
                <w:szCs w:val="16"/>
                <w:b w:val="1"/>
                <w:bCs w:val="1"/>
                <w:color w:val="0000EE"/>
              </w:rPr>
              <w:t>Pay Versus Performance</w:t>
            </w:r>
          </w:p>
        </w:tc>
        <w:tc>
          <w:tcPr>
            <w:tcW w:w="1000" w:type="dxa"/>
            <w:vAlign w:val="bottom"/>
            <w:gridSpan w:val="4"/>
          </w:tcPr>
          <w:p>
            <w:pPr>
              <w:spacing w:after="0"/>
              <w:rPr>
                <w:sz w:val="20"/>
                <w:szCs w:val="20"/>
                <w:color w:val="auto"/>
              </w:rPr>
            </w:pPr>
            <w:r>
              <w:rPr>
                <w:rFonts w:ascii="Arial" w:cs="Arial" w:eastAsia="Arial" w:hAnsi="Arial"/>
                <w:sz w:val="16"/>
                <w:szCs w:val="16"/>
                <w:b w:val="1"/>
                <w:bCs w:val="1"/>
                <w:color w:val="0000EE"/>
              </w:rPr>
              <w:t>37</w:t>
            </w:r>
          </w:p>
        </w:tc>
      </w:tr>
      <w:tr>
        <w:trPr>
          <w:trHeight w:val="20"/>
        </w:trPr>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520" w:type="dxa"/>
            <w:vAlign w:val="bottom"/>
            <w:gridSpan w:val="4"/>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318"/>
        </w:trPr>
        <w:tc>
          <w:tcPr>
            <w:tcW w:w="800" w:type="dxa"/>
            <w:vAlign w:val="bottom"/>
          </w:tcPr>
          <w:p>
            <w:pPr>
              <w:spacing w:after="0"/>
              <w:rPr>
                <w:sz w:val="24"/>
                <w:szCs w:val="24"/>
                <w:color w:val="auto"/>
              </w:rPr>
            </w:pPr>
          </w:p>
        </w:tc>
        <w:tc>
          <w:tcPr>
            <w:tcW w:w="180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b w:val="1"/>
                <w:bCs w:val="1"/>
                <w:color w:val="0000EE"/>
              </w:rPr>
              <w:t>Director Compensation</w:t>
            </w:r>
          </w:p>
        </w:tc>
        <w:tc>
          <w:tcPr>
            <w:tcW w:w="7420" w:type="dxa"/>
            <w:vAlign w:val="bottom"/>
            <w:gridSpan w:val="27"/>
          </w:tcPr>
          <w:p>
            <w:pPr>
              <w:spacing w:after="0"/>
              <w:rPr>
                <w:sz w:val="24"/>
                <w:szCs w:val="24"/>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89"/>
              </w:rPr>
              <w:t>41</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3680" w:type="dxa"/>
            <w:vAlign w:val="bottom"/>
            <w:tcBorders>
              <w:bottom w:val="single" w:sz="8" w:color="0000EE"/>
            </w:tcBorders>
            <w:gridSpan w:val="16"/>
          </w:tcPr>
          <w:p>
            <w:pPr>
              <w:spacing w:after="0"/>
              <w:rPr>
                <w:sz w:val="20"/>
                <w:szCs w:val="20"/>
                <w:color w:val="auto"/>
              </w:rPr>
            </w:pPr>
            <w:r>
              <w:rPr>
                <w:rFonts w:ascii="Arial" w:cs="Arial" w:eastAsia="Arial" w:hAnsi="Arial"/>
                <w:sz w:val="16"/>
                <w:szCs w:val="16"/>
                <w:b w:val="1"/>
                <w:bCs w:val="1"/>
                <w:color w:val="0000EE"/>
              </w:rPr>
              <w:t>Certain Relationships and Related Transactions</w:t>
            </w:r>
          </w:p>
        </w:tc>
        <w:tc>
          <w:tcPr>
            <w:tcW w:w="5540" w:type="dxa"/>
            <w:vAlign w:val="bottom"/>
            <w:gridSpan w:val="16"/>
          </w:tcPr>
          <w:p>
            <w:pPr>
              <w:spacing w:after="0"/>
              <w:rPr>
                <w:sz w:val="24"/>
                <w:szCs w:val="24"/>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89"/>
              </w:rPr>
              <w:t>42</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3040" w:type="dxa"/>
            <w:vAlign w:val="bottom"/>
            <w:tcBorders>
              <w:bottom w:val="single" w:sz="8" w:color="0000EE"/>
            </w:tcBorders>
            <w:gridSpan w:val="13"/>
          </w:tcPr>
          <w:p>
            <w:pPr>
              <w:spacing w:after="0"/>
              <w:rPr>
                <w:sz w:val="20"/>
                <w:szCs w:val="20"/>
                <w:color w:val="auto"/>
              </w:rPr>
            </w:pPr>
            <w:r>
              <w:rPr>
                <w:rFonts w:ascii="Arial" w:cs="Arial" w:eastAsia="Arial" w:hAnsi="Arial"/>
                <w:sz w:val="16"/>
                <w:szCs w:val="16"/>
                <w:b w:val="1"/>
                <w:bCs w:val="1"/>
                <w:color w:val="0000EE"/>
              </w:rPr>
              <w:t>Equity Compensation Plan Information</w:t>
            </w:r>
          </w:p>
        </w:tc>
        <w:tc>
          <w:tcPr>
            <w:tcW w:w="6180" w:type="dxa"/>
            <w:vAlign w:val="bottom"/>
            <w:gridSpan w:val="19"/>
          </w:tcPr>
          <w:p>
            <w:pPr>
              <w:spacing w:after="0"/>
              <w:rPr>
                <w:sz w:val="24"/>
                <w:szCs w:val="24"/>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89"/>
              </w:rPr>
              <w:t>43</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9220" w:type="dxa"/>
            <w:vAlign w:val="bottom"/>
            <w:gridSpan w:val="32"/>
          </w:tcPr>
          <w:p>
            <w:pPr>
              <w:spacing w:after="0"/>
              <w:rPr>
                <w:sz w:val="20"/>
                <w:szCs w:val="20"/>
                <w:color w:val="auto"/>
              </w:rPr>
            </w:pPr>
            <w:r>
              <w:rPr>
                <w:rFonts w:ascii="Arial" w:cs="Arial" w:eastAsia="Arial" w:hAnsi="Arial"/>
                <w:sz w:val="16"/>
                <w:szCs w:val="16"/>
                <w:b w:val="1"/>
                <w:bCs w:val="1"/>
                <w:color w:val="0000EE"/>
              </w:rPr>
              <w:t>Report of the Audit Committee of the Board of Directors</w:t>
            </w:r>
          </w:p>
        </w:tc>
        <w:tc>
          <w:tcPr>
            <w:tcW w:w="1000" w:type="dxa"/>
            <w:vAlign w:val="bottom"/>
            <w:gridSpan w:val="4"/>
          </w:tcPr>
          <w:p>
            <w:pPr>
              <w:spacing w:after="0"/>
              <w:rPr>
                <w:sz w:val="20"/>
                <w:szCs w:val="20"/>
                <w:color w:val="auto"/>
              </w:rPr>
            </w:pPr>
            <w:r>
              <w:rPr>
                <w:rFonts w:ascii="Arial" w:cs="Arial" w:eastAsia="Arial" w:hAnsi="Arial"/>
                <w:sz w:val="16"/>
                <w:szCs w:val="16"/>
                <w:b w:val="1"/>
                <w:bCs w:val="1"/>
                <w:color w:val="0000EE"/>
              </w:rPr>
              <w:t>44</w:t>
            </w:r>
          </w:p>
        </w:tc>
      </w:tr>
      <w:tr>
        <w:trPr>
          <w:trHeight w:val="318"/>
        </w:trPr>
        <w:tc>
          <w:tcPr>
            <w:tcW w:w="800" w:type="dxa"/>
            <w:vAlign w:val="bottom"/>
          </w:tcPr>
          <w:p>
            <w:pPr>
              <w:spacing w:after="0"/>
              <w:rPr>
                <w:sz w:val="24"/>
                <w:szCs w:val="24"/>
                <w:color w:val="auto"/>
              </w:rPr>
            </w:pPr>
          </w:p>
        </w:tc>
        <w:tc>
          <w:tcPr>
            <w:tcW w:w="370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6"/>
                <w:szCs w:val="16"/>
                <w:b w:val="1"/>
                <w:bCs w:val="1"/>
                <w:color w:val="0000EE"/>
              </w:rPr>
              <w:t>Audit-Related Fees, Tax Fees and all Other Fees</w:t>
            </w:r>
          </w:p>
        </w:tc>
        <w:tc>
          <w:tcPr>
            <w:tcW w:w="600" w:type="dxa"/>
            <w:vAlign w:val="bottom"/>
            <w:tcBorders>
              <w:top w:val="single" w:sz="8" w:color="0000EE"/>
            </w:tcBorders>
            <w:gridSpan w:val="6"/>
          </w:tcPr>
          <w:p>
            <w:pPr>
              <w:spacing w:after="0"/>
              <w:rPr>
                <w:sz w:val="24"/>
                <w:szCs w:val="24"/>
                <w:color w:val="auto"/>
              </w:rPr>
            </w:pPr>
          </w:p>
        </w:tc>
        <w:tc>
          <w:tcPr>
            <w:tcW w:w="492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89"/>
              </w:rPr>
              <w:t>45</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4440" w:type="dxa"/>
            <w:vAlign w:val="bottom"/>
            <w:tcBorders>
              <w:bottom w:val="single" w:sz="8" w:color="0000EE"/>
            </w:tcBorders>
            <w:gridSpan w:val="25"/>
          </w:tcPr>
          <w:p>
            <w:pPr>
              <w:spacing w:after="0"/>
              <w:rPr>
                <w:sz w:val="20"/>
                <w:szCs w:val="20"/>
                <w:color w:val="auto"/>
              </w:rPr>
            </w:pPr>
            <w:r>
              <w:rPr>
                <w:rFonts w:ascii="Arial" w:cs="Arial" w:eastAsia="Arial" w:hAnsi="Arial"/>
                <w:sz w:val="16"/>
                <w:szCs w:val="16"/>
                <w:b w:val="1"/>
                <w:bCs w:val="1"/>
                <w:color w:val="0000EE"/>
              </w:rPr>
              <w:t>Proposal 2 — Ratification of Appointment of Accountants</w:t>
            </w:r>
          </w:p>
        </w:tc>
        <w:tc>
          <w:tcPr>
            <w:tcW w:w="4780" w:type="dxa"/>
            <w:vAlign w:val="bottom"/>
            <w:gridSpan w:val="7"/>
          </w:tcPr>
          <w:p>
            <w:pPr>
              <w:spacing w:after="0"/>
              <w:rPr>
                <w:sz w:val="24"/>
                <w:szCs w:val="24"/>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89"/>
              </w:rPr>
              <w:t>46</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4700" w:type="dxa"/>
            <w:vAlign w:val="bottom"/>
            <w:tcBorders>
              <w:bottom w:val="single" w:sz="8" w:color="0000EE"/>
            </w:tcBorders>
            <w:gridSpan w:val="28"/>
          </w:tcPr>
          <w:p>
            <w:pPr>
              <w:spacing w:after="0"/>
              <w:rPr>
                <w:sz w:val="20"/>
                <w:szCs w:val="20"/>
                <w:color w:val="auto"/>
              </w:rPr>
            </w:pPr>
            <w:r>
              <w:rPr>
                <w:rFonts w:ascii="Arial" w:cs="Arial" w:eastAsia="Arial" w:hAnsi="Arial"/>
                <w:sz w:val="16"/>
                <w:szCs w:val="16"/>
                <w:b w:val="1"/>
                <w:bCs w:val="1"/>
                <w:color w:val="0000EE"/>
              </w:rPr>
              <w:t>Proposal 3 — Advisory Approval of Executive Compensation</w:t>
            </w:r>
          </w:p>
        </w:tc>
        <w:tc>
          <w:tcPr>
            <w:tcW w:w="4520" w:type="dxa"/>
            <w:vAlign w:val="bottom"/>
            <w:gridSpan w:val="4"/>
          </w:tcPr>
          <w:p>
            <w:pPr>
              <w:spacing w:after="0"/>
              <w:rPr>
                <w:sz w:val="24"/>
                <w:szCs w:val="24"/>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89"/>
              </w:rPr>
              <w:t>47</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2560" w:type="dxa"/>
            <w:vAlign w:val="bottom"/>
            <w:tcBorders>
              <w:bottom w:val="single" w:sz="8" w:color="0000EE"/>
            </w:tcBorders>
            <w:gridSpan w:val="11"/>
          </w:tcPr>
          <w:p>
            <w:pPr>
              <w:spacing w:after="0"/>
              <w:rPr>
                <w:sz w:val="20"/>
                <w:szCs w:val="20"/>
                <w:color w:val="auto"/>
              </w:rPr>
            </w:pPr>
            <w:r>
              <w:rPr>
                <w:rFonts w:ascii="Arial" w:cs="Arial" w:eastAsia="Arial" w:hAnsi="Arial"/>
                <w:sz w:val="16"/>
                <w:szCs w:val="16"/>
                <w:b w:val="1"/>
                <w:bCs w:val="1"/>
                <w:color w:val="0000EE"/>
              </w:rPr>
              <w:t>Delinquent Section 16(a) Reports</w:t>
            </w:r>
          </w:p>
        </w:tc>
        <w:tc>
          <w:tcPr>
            <w:tcW w:w="6660" w:type="dxa"/>
            <w:vAlign w:val="bottom"/>
            <w:gridSpan w:val="21"/>
          </w:tcPr>
          <w:p>
            <w:pPr>
              <w:spacing w:after="0"/>
              <w:rPr>
                <w:sz w:val="24"/>
                <w:szCs w:val="24"/>
                <w:color w:val="auto"/>
              </w:rPr>
            </w:pPr>
          </w:p>
        </w:tc>
        <w:tc>
          <w:tcPr>
            <w:tcW w:w="180" w:type="dxa"/>
            <w:vAlign w:val="bottom"/>
            <w:tcBorders>
              <w:bottom w:val="single" w:sz="8" w:color="0000EE"/>
            </w:tcBorders>
            <w:gridSpan w:val="3"/>
          </w:tcPr>
          <w:p>
            <w:pPr>
              <w:spacing w:after="0"/>
              <w:rPr>
                <w:sz w:val="20"/>
                <w:szCs w:val="20"/>
                <w:color w:val="auto"/>
              </w:rPr>
            </w:pPr>
            <w:r>
              <w:rPr>
                <w:rFonts w:ascii="Arial" w:cs="Arial" w:eastAsia="Arial" w:hAnsi="Arial"/>
                <w:sz w:val="16"/>
                <w:szCs w:val="16"/>
                <w:b w:val="1"/>
                <w:bCs w:val="1"/>
                <w:color w:val="0000EE"/>
                <w:w w:val="89"/>
              </w:rPr>
              <w:t>48</w:t>
            </w:r>
          </w:p>
        </w:tc>
        <w:tc>
          <w:tcPr>
            <w:tcW w:w="820" w:type="dxa"/>
            <w:vAlign w:val="bottom"/>
          </w:tcPr>
          <w:p>
            <w:pPr>
              <w:spacing w:after="0"/>
              <w:rPr>
                <w:sz w:val="24"/>
                <w:szCs w:val="24"/>
                <w:color w:val="auto"/>
              </w:rPr>
            </w:pPr>
          </w:p>
        </w:tc>
      </w:tr>
      <w:tr>
        <w:trPr>
          <w:trHeight w:val="318"/>
        </w:trPr>
        <w:tc>
          <w:tcPr>
            <w:tcW w:w="800" w:type="dxa"/>
            <w:vAlign w:val="bottom"/>
          </w:tcPr>
          <w:p>
            <w:pPr>
              <w:spacing w:after="0"/>
              <w:rPr>
                <w:sz w:val="24"/>
                <w:szCs w:val="24"/>
                <w:color w:val="auto"/>
              </w:rPr>
            </w:pPr>
          </w:p>
        </w:tc>
        <w:tc>
          <w:tcPr>
            <w:tcW w:w="9220" w:type="dxa"/>
            <w:vAlign w:val="bottom"/>
            <w:gridSpan w:val="32"/>
          </w:tcPr>
          <w:p>
            <w:pPr>
              <w:spacing w:after="0"/>
              <w:rPr>
                <w:sz w:val="20"/>
                <w:szCs w:val="20"/>
                <w:color w:val="auto"/>
              </w:rPr>
            </w:pPr>
            <w:r>
              <w:rPr>
                <w:rFonts w:ascii="Arial" w:cs="Arial" w:eastAsia="Arial" w:hAnsi="Arial"/>
                <w:sz w:val="16"/>
                <w:szCs w:val="16"/>
                <w:b w:val="1"/>
                <w:bCs w:val="1"/>
                <w:color w:val="0000EE"/>
              </w:rPr>
              <w:t>Other Matters</w:t>
            </w:r>
          </w:p>
        </w:tc>
        <w:tc>
          <w:tcPr>
            <w:tcW w:w="1000" w:type="dxa"/>
            <w:vAlign w:val="bottom"/>
            <w:gridSpan w:val="4"/>
          </w:tcPr>
          <w:p>
            <w:pPr>
              <w:spacing w:after="0"/>
              <w:rPr>
                <w:sz w:val="20"/>
                <w:szCs w:val="20"/>
                <w:color w:val="auto"/>
              </w:rPr>
            </w:pPr>
            <w:r>
              <w:rPr>
                <w:rFonts w:ascii="Arial" w:cs="Arial" w:eastAsia="Arial" w:hAnsi="Arial"/>
                <w:sz w:val="16"/>
                <w:szCs w:val="16"/>
                <w:b w:val="1"/>
                <w:bCs w:val="1"/>
                <w:color w:val="0000EE"/>
              </w:rPr>
              <w:t>49</w:t>
            </w:r>
          </w:p>
        </w:tc>
      </w:tr>
      <w:tr>
        <w:trPr>
          <w:trHeight w:val="203"/>
        </w:trPr>
        <w:tc>
          <w:tcPr>
            <w:tcW w:w="800" w:type="dxa"/>
            <w:vAlign w:val="bottom"/>
            <w:tcBorders>
              <w:bottom w:val="single" w:sz="8" w:color="auto"/>
            </w:tcBorders>
          </w:tcPr>
          <w:p>
            <w:pPr>
              <w:spacing w:after="0"/>
              <w:rPr>
                <w:sz w:val="17"/>
                <w:szCs w:val="17"/>
                <w:color w:val="auto"/>
              </w:rPr>
            </w:pPr>
          </w:p>
        </w:tc>
        <w:tc>
          <w:tcPr>
            <w:tcW w:w="180" w:type="dxa"/>
            <w:vAlign w:val="bottom"/>
            <w:tcBorders>
              <w:top w:val="single" w:sz="8" w:color="0000EE"/>
              <w:bottom w:val="single" w:sz="8" w:color="auto"/>
            </w:tcBorders>
          </w:tcPr>
          <w:p>
            <w:pPr>
              <w:spacing w:after="0"/>
              <w:rPr>
                <w:sz w:val="17"/>
                <w:szCs w:val="17"/>
                <w:color w:val="auto"/>
              </w:rPr>
            </w:pPr>
          </w:p>
        </w:tc>
        <w:tc>
          <w:tcPr>
            <w:tcW w:w="180" w:type="dxa"/>
            <w:vAlign w:val="bottom"/>
            <w:tcBorders>
              <w:top w:val="single" w:sz="8" w:color="0000EE"/>
              <w:bottom w:val="single" w:sz="8" w:color="auto"/>
            </w:tcBorders>
          </w:tcPr>
          <w:p>
            <w:pPr>
              <w:spacing w:after="0"/>
              <w:rPr>
                <w:sz w:val="17"/>
                <w:szCs w:val="17"/>
                <w:color w:val="auto"/>
              </w:rPr>
            </w:pPr>
          </w:p>
        </w:tc>
        <w:tc>
          <w:tcPr>
            <w:tcW w:w="700" w:type="dxa"/>
            <w:vAlign w:val="bottom"/>
            <w:tcBorders>
              <w:top w:val="single" w:sz="8" w:color="0000EE"/>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3220" w:type="dxa"/>
            <w:vAlign w:val="bottom"/>
            <w:tcBorders>
              <w:bottom w:val="single" w:sz="8" w:color="auto"/>
            </w:tcBorders>
          </w:tcPr>
          <w:p>
            <w:pPr>
              <w:spacing w:after="0"/>
              <w:rPr>
                <w:sz w:val="17"/>
                <w:szCs w:val="17"/>
                <w:color w:val="auto"/>
              </w:rPr>
            </w:pPr>
          </w:p>
        </w:tc>
        <w:tc>
          <w:tcPr>
            <w:tcW w:w="80" w:type="dxa"/>
            <w:vAlign w:val="bottom"/>
            <w:tcBorders>
              <w:top w:val="single" w:sz="8" w:color="0000EE"/>
              <w:bottom w:val="single" w:sz="8" w:color="auto"/>
            </w:tcBorders>
          </w:tcPr>
          <w:p>
            <w:pPr>
              <w:spacing w:after="0"/>
              <w:rPr>
                <w:sz w:val="17"/>
                <w:szCs w:val="17"/>
                <w:color w:val="auto"/>
              </w:rPr>
            </w:pPr>
          </w:p>
        </w:tc>
        <w:tc>
          <w:tcPr>
            <w:tcW w:w="80" w:type="dxa"/>
            <w:vAlign w:val="bottom"/>
            <w:tcBorders>
              <w:top w:val="single" w:sz="8" w:color="0000EE"/>
              <w:bottom w:val="single" w:sz="8" w:color="auto"/>
            </w:tcBorders>
          </w:tcPr>
          <w:p>
            <w:pPr>
              <w:spacing w:after="0"/>
              <w:rPr>
                <w:sz w:val="17"/>
                <w:szCs w:val="17"/>
                <w:color w:val="auto"/>
              </w:rPr>
            </w:pPr>
          </w:p>
        </w:tc>
        <w:tc>
          <w:tcPr>
            <w:tcW w:w="20" w:type="dxa"/>
            <w:vAlign w:val="bottom"/>
            <w:tcBorders>
              <w:top w:val="single" w:sz="8" w:color="0000EE"/>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114"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4246880</wp:posOffset>
            </wp:positionH>
            <wp:positionV relativeFrom="paragraph">
              <wp:posOffset>102870</wp:posOffset>
            </wp:positionV>
            <wp:extent cx="1722755"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22755" cy="13716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b w:val="1"/>
          <w:bCs w:val="1"/>
          <w:color w:val="D9BA05"/>
        </w:rPr>
        <w:t>PROXY STATEMENT</w:t>
      </w:r>
    </w:p>
    <w:p>
      <w:pPr>
        <w:spacing w:after="0" w:line="38" w:lineRule="exact"/>
        <w:rPr>
          <w:sz w:val="20"/>
          <w:szCs w:val="20"/>
          <w:color w:val="auto"/>
        </w:rPr>
      </w:pPr>
    </w:p>
    <w:p>
      <w:pPr>
        <w:ind w:right="1920"/>
        <w:spacing w:after="0" w:line="251" w:lineRule="auto"/>
        <w:rPr>
          <w:sz w:val="20"/>
          <w:szCs w:val="20"/>
          <w:color w:val="auto"/>
        </w:rPr>
      </w:pPr>
      <w:r>
        <w:rPr>
          <w:rFonts w:ascii="Arial" w:cs="Arial" w:eastAsia="Arial" w:hAnsi="Arial"/>
          <w:sz w:val="45"/>
          <w:szCs w:val="45"/>
          <w:b w:val="1"/>
          <w:bCs w:val="1"/>
          <w:color w:val="auto"/>
        </w:rPr>
        <w:t>Annual Meeting of Shareholders of Movado Group, Inc. to be held on Wednesday, 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59664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6460" cy="8890"/>
                    </a:xfrm>
                    <a:prstGeom prst="rect">
                      <a:avLst/>
                    </a:prstGeom>
                    <a:noFill/>
                  </pic:spPr>
                </pic:pic>
              </a:graphicData>
            </a:graphic>
          </wp:anchor>
        </w:drawing>
      </w:r>
    </w:p>
    <w:p>
      <w:pPr>
        <w:spacing w:after="0" w:line="227" w:lineRule="exact"/>
        <w:rPr>
          <w:sz w:val="20"/>
          <w:szCs w:val="20"/>
          <w:color w:val="auto"/>
        </w:rPr>
      </w:pPr>
    </w:p>
    <w:p>
      <w:pPr>
        <w:ind w:right="1580"/>
        <w:spacing w:after="0" w:line="292" w:lineRule="auto"/>
        <w:rPr>
          <w:sz w:val="20"/>
          <w:szCs w:val="20"/>
          <w:color w:val="auto"/>
        </w:rPr>
      </w:pPr>
      <w:r>
        <w:rPr>
          <w:rFonts w:ascii="Arial" w:cs="Arial" w:eastAsia="Arial" w:hAnsi="Arial"/>
          <w:sz w:val="50"/>
          <w:szCs w:val="50"/>
          <w:b w:val="1"/>
          <w:bCs w:val="1"/>
          <w:color w:val="D9BA05"/>
        </w:rPr>
        <w:t>Some Questions You May Have Regarding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-85090</wp:posOffset>
            </wp:positionV>
            <wp:extent cx="59664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THE PURPOSE OF THESE MATERIALS?</w:t>
      </w:r>
    </w:p>
    <w:p>
      <w:pPr>
        <w:spacing w:after="0" w:line="16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Board of Directors (the “Board of Directors”) of Movado Group, Inc. (the “Company”) is soliciting proxies for our 2026 Annual Meeting of Shareholders (the “Annual Meeting”). The Annual Meeting will be held on Wednesday, June 17, 2026, at 10:00 a.m., Eastern time, in virtual format only at www.virtualshareholdermeeting.com/MOV2026. The information included in this proxy statement relates to the proposals to be voted on at the Annual Meeting, the voting process, the compensation of Directors and our most highly paid executive officers, and other required information. Our annual report to shareholders for the fiscal year ended January 31, 2026, is available to review with this proxy statement. We are mailing a notice of the Annual Meeting (and, for those who request it, a paper copy of this proxy statement and the enclosed form of proxy) to our shareholders on or about May 6, 2026.</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PROPOSALS WILL BE VOTED ON AT THE ANNUAL MEETING?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three matters scheduled to be voted on at the Annual Meeting are:</w:t>
      </w:r>
    </w:p>
    <w:p>
      <w:pPr>
        <w:spacing w:after="0" w:line="167" w:lineRule="exact"/>
        <w:rPr>
          <w:sz w:val="20"/>
          <w:szCs w:val="20"/>
          <w:color w:val="auto"/>
        </w:rPr>
      </w:pPr>
    </w:p>
    <w:p>
      <w:pPr>
        <w:ind w:left="660" w:hanging="330"/>
        <w:spacing w:after="0"/>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election of eight directors to serve on the Board of Directors;</w:t>
      </w:r>
    </w:p>
    <w:p>
      <w:pPr>
        <w:spacing w:after="0" w:line="167" w:lineRule="exact"/>
        <w:rPr>
          <w:rFonts w:ascii="Arial" w:cs="Arial" w:eastAsia="Arial" w:hAnsi="Arial"/>
          <w:sz w:val="16"/>
          <w:szCs w:val="16"/>
          <w:color w:val="auto"/>
        </w:rPr>
      </w:pPr>
    </w:p>
    <w:p>
      <w:pPr>
        <w:ind w:left="660" w:right="640" w:hanging="330"/>
        <w:spacing w:after="0" w:line="28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ratification of the selection of PricewaterhouseCoopers LLP as the Company’s independent registered public accounting firm for the fiscal year ending January 31, 2027; and</w:t>
      </w:r>
    </w:p>
    <w:p>
      <w:pPr>
        <w:spacing w:after="0" w:line="101" w:lineRule="exact"/>
        <w:rPr>
          <w:rFonts w:ascii="Arial" w:cs="Arial" w:eastAsia="Arial" w:hAnsi="Arial"/>
          <w:sz w:val="16"/>
          <w:szCs w:val="16"/>
          <w:color w:val="auto"/>
        </w:rPr>
      </w:pPr>
    </w:p>
    <w:p>
      <w:pPr>
        <w:ind w:left="660" w:right="80" w:hanging="330"/>
        <w:spacing w:after="0" w:line="286"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approval, on an advisory basis, of the compensation of the Company’s named executive officers, as described in the proxy statement under “Executive Compensation.”</w:t>
      </w:r>
    </w:p>
    <w:p>
      <w:pPr>
        <w:spacing w:after="0" w:line="102"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In addition, such other business as may properly come before the Annual Meeting or any adjournment or postponement thereof may be voted 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CAN VOTE AT THE ANNUAL MEETING?</w:t>
      </w:r>
    </w:p>
    <w:p>
      <w:pPr>
        <w:spacing w:after="0" w:line="167"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Anyone owning shares of the Company’s Common Stock and/or its Class A Common Stock at the close of business on April 24, 2026, the record date for this year’s Annual Meeting, is entitled to attend and to vote on all items properly presented at the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IS ASKING ME FOR MY VOTE?</w:t>
      </w:r>
    </w:p>
    <w:p>
      <w:pPr>
        <w:spacing w:after="0" w:line="167" w:lineRule="exact"/>
        <w:rPr>
          <w:sz w:val="20"/>
          <w:szCs w:val="20"/>
          <w:color w:val="auto"/>
        </w:rPr>
      </w:pPr>
    </w:p>
    <w:p>
      <w:pPr>
        <w:ind w:right="240"/>
        <w:spacing w:after="0" w:line="259" w:lineRule="auto"/>
        <w:rPr>
          <w:sz w:val="20"/>
          <w:szCs w:val="20"/>
          <w:color w:val="auto"/>
        </w:rPr>
      </w:pPr>
      <w:r>
        <w:rPr>
          <w:rFonts w:ascii="Arial" w:cs="Arial" w:eastAsia="Arial" w:hAnsi="Arial"/>
          <w:sz w:val="16"/>
          <w:szCs w:val="16"/>
          <w:color w:val="auto"/>
        </w:rPr>
        <w:t>The Company is soliciting your proxy on behalf of the Board of Directors and has retained Broadridge Investor Communications Solutions, Inc. (“Broadridge”), professional proxy solicitors, to assist with the solicitation. We will pay the entire cost of this proxy solicitation, including the cost of preparing and mailing the Notice of Internet Availability of Proxy Materials and the Proxy Statement and Broadridge’s fee, which we expect to be less than $10,000.</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Movado Group, Inc.        1</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ARE MY VOTING RIGHTS?</w:t>
      </w:r>
    </w:p>
    <w:p>
      <w:pPr>
        <w:spacing w:after="0" w:line="16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Each share of Common Stock is entitled to one vote and each share of Class A Common Stock is entitled to 10 votes on each matter properly presented at the Annual Meeting. At the close of business on April 24, 2026, the record date for determining the shareholders entitled to notice of, and to vote at, the Annual Meeting, there were 15,771,631 shares of Common Stock outstanding and 6,455,602 shares of Class A Common Stock outstanding. The Common Stock and the Class A Common Stock are hereinafter referred to together as the “Capital Stock.” A list of all shareholders as of the record date will be available during ordinary business hours at the Company’s principal place of business located at 650 From Road, Ste. 375, Paramus, NJ 07652-3556, from the Secretary of the Company, at least 10 days before the Annual Meeting and will also be available at the Annual Meeting.</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DOES THE BOARD OF DIRECTORS RECOMMEND THAT I VOTE?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recommends that you vote:</w:t>
      </w:r>
    </w:p>
    <w:p>
      <w:pPr>
        <w:spacing w:after="0" w:line="167" w:lineRule="exact"/>
        <w:rPr>
          <w:sz w:val="20"/>
          <w:szCs w:val="20"/>
          <w:color w:val="auto"/>
        </w:rPr>
      </w:pPr>
    </w:p>
    <w:p>
      <w:pPr>
        <w:ind w:left="680" w:hanging="350"/>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the election of each of the director nominees;</w:t>
      </w:r>
    </w:p>
    <w:p>
      <w:pPr>
        <w:spacing w:after="0" w:line="167" w:lineRule="exact"/>
        <w:rPr>
          <w:rFonts w:ascii="Arial" w:cs="Arial" w:eastAsia="Arial" w:hAnsi="Arial"/>
          <w:sz w:val="16"/>
          <w:szCs w:val="16"/>
          <w:color w:val="auto"/>
        </w:rPr>
      </w:pPr>
    </w:p>
    <w:p>
      <w:pPr>
        <w:ind w:left="680" w:right="140" w:hanging="350"/>
        <w:spacing w:after="0" w:line="286" w:lineRule="auto"/>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the appointment of PricewaterhouseCoopers LLP as the Company’s independent registered public accounting firm for the fiscal year ending January 31, 2027; and</w:t>
      </w:r>
    </w:p>
    <w:p>
      <w:pPr>
        <w:spacing w:after="0" w:line="101" w:lineRule="exact"/>
        <w:rPr>
          <w:rFonts w:ascii="Arial" w:cs="Arial" w:eastAsia="Arial" w:hAnsi="Arial"/>
          <w:sz w:val="16"/>
          <w:szCs w:val="16"/>
          <w:color w:val="auto"/>
        </w:rPr>
      </w:pPr>
    </w:p>
    <w:p>
      <w:pPr>
        <w:ind w:left="680" w:hanging="350"/>
        <w:spacing w:after="0" w:line="286" w:lineRule="auto"/>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 the approval, on an advisory basis, of the compensation of the Company’s named executive officers, as described in the proxy statement under “Executive Compensation.”</w:t>
      </w:r>
    </w:p>
    <w:p>
      <w:pPr>
        <w:spacing w:after="0" w:line="142" w:lineRule="exact"/>
        <w:rPr>
          <w:sz w:val="20"/>
          <w:szCs w:val="20"/>
          <w:color w:val="auto"/>
        </w:rPr>
      </w:pPr>
    </w:p>
    <w:p>
      <w:pPr>
        <w:ind w:right="840"/>
        <w:spacing w:after="0" w:line="296" w:lineRule="auto"/>
        <w:rPr>
          <w:sz w:val="20"/>
          <w:szCs w:val="20"/>
          <w:color w:val="auto"/>
        </w:rPr>
      </w:pPr>
      <w:r>
        <w:rPr>
          <w:rFonts w:ascii="Arial" w:cs="Arial" w:eastAsia="Arial" w:hAnsi="Arial"/>
          <w:sz w:val="16"/>
          <w:szCs w:val="16"/>
          <w:b w:val="1"/>
          <w:bCs w:val="1"/>
          <w:color w:val="auto"/>
        </w:rPr>
        <w:t>WHY DID I RECEIVE A ONE-PAGE NOTICE IN THE MAIL REGARDING THE INTERNET AVAILABILITY OF PROXY MATERIALS INSTEAD OF A FULL PRINTED SET?</w:t>
      </w:r>
    </w:p>
    <w:p>
      <w:pPr>
        <w:spacing w:after="0" w:line="86"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In accordance with the rules of the Securities and Exchange Commission (the “SEC”), the Company is providing access to its proxy materials via the Internet. Accordingly, the Company is mailing a Notice of Internet Availability of Proxy Materials (the “Notice”) to shareholders of record and beneficial owners. All shareholders will have the ability to access the proxy materials on a website referred to in the Notice or to request a printed set of the proxy materials. Instructions on how to access the proxy materials via the Internet or to request a printed set may be found in the Notice. In addition, shareholders may request to receive proxy materials in printed form by mail or electronically by email on an ongoing basis.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CAN I VIEW THE PROXY MATERIALS ON THE INTERNET?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Notice provides you with instructions on how to:</w:t>
      </w:r>
    </w:p>
    <w:p>
      <w:pPr>
        <w:spacing w:after="0" w:line="167" w:lineRule="exact"/>
        <w:rPr>
          <w:sz w:val="20"/>
          <w:szCs w:val="20"/>
          <w:color w:val="auto"/>
        </w:rPr>
      </w:pPr>
    </w:p>
    <w:p>
      <w:pPr>
        <w:ind w:left="660" w:hanging="330"/>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view proxy materials for the Annual Meeting via the Internet; and</w:t>
      </w:r>
    </w:p>
    <w:p>
      <w:pPr>
        <w:spacing w:after="0" w:line="167" w:lineRule="exact"/>
        <w:rPr>
          <w:rFonts w:ascii="Arial" w:cs="Arial" w:eastAsia="Arial" w:hAnsi="Arial"/>
          <w:sz w:val="16"/>
          <w:szCs w:val="16"/>
          <w:color w:val="auto"/>
        </w:rPr>
      </w:pPr>
    </w:p>
    <w:p>
      <w:pPr>
        <w:ind w:left="660" w:hanging="330"/>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instruct the Company to send future proxy materials to you by email.</w:t>
      </w:r>
    </w:p>
    <w:p>
      <w:pPr>
        <w:spacing w:after="0" w:line="167"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 xml:space="preserve">You can also view the proxy materials for the Annual Meeting online at www.movadogroup.com by clicking on </w:t>
      </w:r>
      <w:r>
        <w:rPr>
          <w:rFonts w:ascii="Arial" w:cs="Arial" w:eastAsia="Arial" w:hAnsi="Arial"/>
          <w:sz w:val="16"/>
          <w:szCs w:val="16"/>
          <w:i w:val="1"/>
          <w:iCs w:val="1"/>
          <w:color w:val="auto"/>
        </w:rPr>
        <w:t>Investors</w:t>
      </w:r>
      <w:r>
        <w:rPr>
          <w:rFonts w:ascii="Arial" w:cs="Arial" w:eastAsia="Arial" w:hAnsi="Arial"/>
          <w:sz w:val="16"/>
          <w:szCs w:val="16"/>
          <w:color w:val="auto"/>
        </w:rPr>
        <w:t xml:space="preserve"> and then </w:t>
      </w:r>
      <w:r>
        <w:rPr>
          <w:rFonts w:ascii="Arial" w:cs="Arial" w:eastAsia="Arial" w:hAnsi="Arial"/>
          <w:sz w:val="16"/>
          <w:szCs w:val="16"/>
          <w:i w:val="1"/>
          <w:iCs w:val="1"/>
          <w:color w:val="auto"/>
        </w:rPr>
        <w:t>Financials/Annual Reports &amp; Proxy Statements</w:t>
      </w:r>
      <w:r>
        <w:rPr>
          <w:rFonts w:ascii="Arial" w:cs="Arial" w:eastAsia="Arial" w:hAnsi="Arial"/>
          <w:sz w:val="16"/>
          <w:szCs w:val="16"/>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DO I VOTE?</w:t>
      </w:r>
    </w:p>
    <w:p>
      <w:pPr>
        <w:spacing w:after="0" w:line="167"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If you are a shareholder on the record date, you may vote in advance of the meeting by following the instructions for voting on the Notice. If you receive paper copies of these proxy materials, you can vote in advance of the meeting by completing, signing and dating your proxy card and returning it in the enclosed envelope. Alternatively, you may attend the Annual Meeting and vote your shares during the meeting by visiting www.virtualshareholdermeeting.com/MOV2026 and entering the 16-digit control number included in your Notice, voting instruction form, or proxy card. If you encounter any difficulty accessing the Annual Meeting or during the Annual Meeting, please call the technical support number posted on the Annual Meeting website. The technical support number will be available at least 15 minutes before the start of the meeting. If you vote in advance online, by phone or by mailing in a proxy card, you may still attend the Annual Meeting and vote during the meeting, but, in that case, only the votes you enter during the meeting will count.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Movado Group, Inc.        2</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CAN I CHANGE MY VOTE AFTER I HAVE DELIVERED MY PROXY?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Yes. You may change your vote at any time before voting concludes at the Annual Meeting by:</w:t>
      </w:r>
    </w:p>
    <w:p>
      <w:pPr>
        <w:spacing w:after="0" w:line="167" w:lineRule="exact"/>
        <w:rPr>
          <w:sz w:val="20"/>
          <w:szCs w:val="20"/>
          <w:color w:val="auto"/>
        </w:rPr>
      </w:pPr>
    </w:p>
    <w:p>
      <w:pPr>
        <w:ind w:left="660" w:hanging="330"/>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providing another proxy, or using any of the available methods for voting, with a later date;</w:t>
      </w:r>
    </w:p>
    <w:p>
      <w:pPr>
        <w:spacing w:after="0" w:line="167" w:lineRule="exact"/>
        <w:rPr>
          <w:rFonts w:ascii="Arial" w:cs="Arial" w:eastAsia="Arial" w:hAnsi="Arial"/>
          <w:sz w:val="16"/>
          <w:szCs w:val="16"/>
          <w:color w:val="auto"/>
        </w:rPr>
      </w:pPr>
    </w:p>
    <w:p>
      <w:pPr>
        <w:ind w:left="660" w:hanging="330"/>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notifying the Company’s Secretary in writing before the Annual Meeting that you wish to revoke your proxy; or</w:t>
      </w:r>
    </w:p>
    <w:p>
      <w:pPr>
        <w:spacing w:after="0" w:line="167" w:lineRule="exact"/>
        <w:rPr>
          <w:rFonts w:ascii="Arial" w:cs="Arial" w:eastAsia="Arial" w:hAnsi="Arial"/>
          <w:sz w:val="16"/>
          <w:szCs w:val="16"/>
          <w:color w:val="auto"/>
        </w:rPr>
      </w:pPr>
    </w:p>
    <w:p>
      <w:pPr>
        <w:ind w:left="660" w:hanging="330"/>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voting at www.virtualshareholdermeeting.com/MOV2026 during the Annual Meeting.</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A QUORUM?</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For the purposes of the Annual Meeting, a “quorum” is a majority in voting power of the outstanding shares of Capital Stock owned by shareholders on the record date. There must be a quorum present in person or represented by proxy for the Annual Meeting to be held. Broker non-votes (as further described below) and abstentions will be counted as present for purposes of determining whether a quorum is present at the Annual Meeting.</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IS BROKER “DISCRETIONARY” VOTING?</w:t>
      </w:r>
    </w:p>
    <w:p>
      <w:pPr>
        <w:spacing w:after="0" w:line="16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Under the rules of the New York Stock Exchange (“NYSE”), brokers who have transmitted proxy materials to customers will have discretion to vote the shares of customers who fail to provide voting instructions on “routine matters,” but brokers may not vote such shares on “non-routine matters” without voting instructions. When a broker’s customer does not provide the broker with voting instructions on non-routine matters, the broker cannot vote on those matters and instead reports the number of such shares as broker “non-votes.” Broker non-votes are counted as present for the purpose of determining the presence of a quorum for the transaction of business, but they are not counted as shares voting. Broker non-votes can therefore have the effect of preventing approval of certain proposals where the number of affirmative votes, although a majority of the votes cast, does not constitute a majority of the voting power present. Non-routine matters include the election of directors and the approval, on an advisory basis, of the executive compensation of the Company’s named executive officers. Therefore, if you hold your shares in street name through a broker, you must cast your vote if you want it to count in respect of these non-routine matters. The ratification of the appointment of the Company’s independent registered public accounting firm is a routine matter, so brokers will have discretion to vote any uninstructed shares on that proposal (Proposal 2).</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ARE MATTERS PRESENTED AT THE ANNUAL MEETING APPROVED?</w:t>
      </w:r>
    </w:p>
    <w:p>
      <w:pPr>
        <w:spacing w:after="0" w:line="167"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auto"/>
        </w:rPr>
        <w:t>Directors are elected by a plurality of the votes cast at the Annual Meeting. Approval of each of the proposals (i) to ratify the selection of PricewaterhouseCoopers LLP as the Company’s independent registered public accounting firm for fiscal 2027 and</w:t>
      </w:r>
    </w:p>
    <w:p>
      <w:pPr>
        <w:spacing w:after="0" w:line="1" w:lineRule="exact"/>
        <w:rPr>
          <w:sz w:val="20"/>
          <w:szCs w:val="20"/>
          <w:color w:val="auto"/>
        </w:rPr>
      </w:pPr>
    </w:p>
    <w:p>
      <w:pPr>
        <w:jc w:val="both"/>
        <w:ind w:right="100" w:firstLine="6"/>
        <w:spacing w:after="0" w:line="256" w:lineRule="auto"/>
        <w:tabs>
          <w:tab w:leader="none" w:pos="225"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approve, on an advisory basis, the compensation of the Company’s named executive officers requires the affirmative vote of the holders of a majority in voting power of the outstanding shares of Capital Stock present in person or represented by proxy and entitled to vote at the Annual Meeting.</w:t>
      </w:r>
    </w:p>
    <w:p>
      <w:pPr>
        <w:spacing w:after="0" w:line="12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With respect to the aforementioned proposals, abstentions will not be counted as votes cast in accordance with New York law. For this reason, abstentions and broker non-votes will have the effect of votes against (i) the proposal to ratify the selection of PricewaterhouseCoopers LLP as the Company’s independent registered public accounting firm for fiscal 2027 and (ii) the proposal to approve the compensation of the Company’s named executive officers. Abstentions and broker non-votes will have no effect on the election of directors.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MAY I VOTE CONFIDENTIALLY?</w:t>
      </w:r>
    </w:p>
    <w:p>
      <w:pPr>
        <w:spacing w:after="0" w:line="16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Yes. Our policy is to keep your vote confidential, except as otherwise legally required, to allow for the tabulation and certification of votes and to facilitate proxy solicitation.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WHO WILL COUNT THE VOTES?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 representative of Broadridge will count the votes and act as the inspector of election for the Annual Meeting.</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Movado Group, Inc.        3</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IF ADDITIONAL MATTERS ARE PRESENTED TO THE ANNUAL MEETING?</w:t>
      </w:r>
    </w:p>
    <w:p>
      <w:pPr>
        <w:spacing w:after="0" w:line="167"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We do not know of any business to be considered at the Annual Meeting other than the proposals described in this proxy statement. If any other business is presented at the Annual Meeting, your properly executed proxy gives authority to Mitchell C. Sussis, our General Counsel and Corporate Secretary, and to Sallie A. DeMarsilis, our Chief Financial Officer, to vote on such matters at his or her discretion.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WHERE CAN I FIND THE VOTING RESULTS FROM THE ANNUAL MEETING?</w:t>
      </w:r>
    </w:p>
    <w:p>
      <w:pPr>
        <w:spacing w:after="0" w:line="167"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color w:val="auto"/>
        </w:rPr>
        <w:t>We will announce preliminary voting results at the Annual Meeting and will publish final results in a Current Report on Form 8-K that we will file with the SEC within four business days after the date of the Annual Meeting.</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CAN I OBTAIN INFORMATION ABOUT THE COMPANY?</w:t>
      </w:r>
    </w:p>
    <w:p>
      <w:pPr>
        <w:spacing w:after="0" w:line="167" w:lineRule="exact"/>
        <w:rPr>
          <w:sz w:val="20"/>
          <w:szCs w:val="20"/>
          <w:color w:val="auto"/>
        </w:rPr>
      </w:pPr>
    </w:p>
    <w:p>
      <w:pPr>
        <w:ind w:right="560"/>
        <w:spacing w:after="0" w:line="266" w:lineRule="auto"/>
        <w:rPr>
          <w:sz w:val="20"/>
          <w:szCs w:val="20"/>
          <w:color w:val="auto"/>
        </w:rPr>
      </w:pPr>
      <w:r>
        <w:rPr>
          <w:rFonts w:ascii="Arial" w:cs="Arial" w:eastAsia="Arial" w:hAnsi="Arial"/>
          <w:sz w:val="16"/>
          <w:szCs w:val="16"/>
          <w:color w:val="auto"/>
        </w:rPr>
        <w:t>A copy of our fiscal 2026 Annual Report on Form 10-K is available on our website at www.movadogroup.com/investors. Shareholders may also obtain a free copy by sending a request in writing to Mitchell C. Sussis, Corporate Secretary, at the Company’s address set forth in the Notice.</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WHEN ARE SHAREHOLDER PROPOSALS DUE FOR CONSIDERATION AT NEXT YEAR’S ANNUAL MEETING?</w:t>
      </w:r>
    </w:p>
    <w:p>
      <w:pPr>
        <w:spacing w:after="0" w:line="167"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Under Rule 14a-8 of the Securities Exchange Act of 1934, as amended (the “Exchange Act”), for shareholder proposals to be considered for inclusion in the proxy statement for the 2027 Annual Meeting, they must be submitted in writing to our Corporate Secretary at Movado Group, Inc., 650 From Road, Ste. 375, Paramus, NJ 07652-3556, on or before January 6, 2027. In addition, our by-laws provide that, for directors to be nominated or other proposals to be properly presented at the 2027 Annual Meeting, an additional notice of any nomination or proposal must be received by us not less than 60 days nor more than 90 days before the Annual Meeting. If less than 70 days’ notice of our 2027 Annual Meeting is given, then to be timely, the notice by the shareholder must be received by us not later than the close of business on the tenth day following the day on which the first public announcement of the date of the 2027 Annual Meeting is made or the notice of the meeting is mailed, whichever occurs first. In addition to satisfying the deadlines in the advance notice provisions of our by-laws, shareholders who intend to solicit proxies in support of nominees submitted under these advance notice provisions must provide the notice required by Rule 14a-19 under the Exchange Act to the Company Secretary at the address noted above no later than April 18, 2027.</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Movado Group, Inc.        4</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40" w:top="114" w:right="1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ind w:right="760"/>
        <w:spacing w:after="0" w:line="292" w:lineRule="auto"/>
        <w:rPr>
          <w:sz w:val="20"/>
          <w:szCs w:val="20"/>
          <w:color w:val="auto"/>
        </w:rPr>
      </w:pPr>
      <w:r>
        <w:rPr>
          <w:rFonts w:ascii="Arial" w:cs="Arial" w:eastAsia="Arial" w:hAnsi="Arial"/>
          <w:sz w:val="50"/>
          <w:szCs w:val="50"/>
          <w:b w:val="1"/>
          <w:bCs w:val="1"/>
          <w:color w:val="D9BA05"/>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-85090</wp:posOffset>
            </wp:positionV>
            <wp:extent cx="59664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8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following table shows the number of shares of the Company’s Class A Common Stock and Common Stock beneficially owned as of April 24, 2026 (except as otherwise noted in footnotes 2, 3, 4 and 5) by (i) each shareholder known by the Company to beneficially own more than 5% of the outstanding shares of either the Class A Common Stock or the Common Stock, (ii) each current director, (iii) each executive officer named in the Summary Compensation Table, and (iv) all current executive officers and directors as a group.</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40" w:type="dxa"/>
            <w:vAlign w:val="bottom"/>
            <w:gridSpan w:val="4"/>
          </w:tcPr>
          <w:p>
            <w:pPr>
              <w:jc w:val="right"/>
              <w:ind w:right="220"/>
              <w:spacing w:after="0"/>
              <w:rPr>
                <w:sz w:val="20"/>
                <w:szCs w:val="20"/>
                <w:color w:val="auto"/>
              </w:rPr>
            </w:pPr>
            <w:r>
              <w:rPr>
                <w:rFonts w:ascii="Arial" w:cs="Arial" w:eastAsia="Arial" w:hAnsi="Arial"/>
                <w:sz w:val="13"/>
                <w:szCs w:val="13"/>
                <w:b w:val="1"/>
                <w:bCs w:val="1"/>
                <w:color w:val="auto"/>
                <w:w w:val="99"/>
              </w:rPr>
              <w:t>PERCENT OF OUTSTANDING SHARES OF</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740" w:type="dxa"/>
            <w:vAlign w:val="bottom"/>
            <w:vMerge w:val="restart"/>
          </w:tcPr>
          <w:p>
            <w:pPr>
              <w:jc w:val="right"/>
              <w:ind w:right="30"/>
              <w:spacing w:after="0"/>
              <w:rPr>
                <w:sz w:val="20"/>
                <w:szCs w:val="20"/>
                <w:color w:val="auto"/>
              </w:rPr>
            </w:pPr>
            <w:r>
              <w:rPr>
                <w:rFonts w:ascii="Arial" w:cs="Arial" w:eastAsia="Arial" w:hAnsi="Arial"/>
                <w:sz w:val="13"/>
                <w:szCs w:val="13"/>
                <w:b w:val="1"/>
                <w:bCs w:val="1"/>
                <w:color w:val="auto"/>
              </w:rPr>
              <w:t>SHARES OF CLASS A</w:t>
            </w:r>
          </w:p>
        </w:tc>
        <w:tc>
          <w:tcPr>
            <w:tcW w:w="1340" w:type="dxa"/>
            <w:vAlign w:val="bottom"/>
            <w:vMerge w:val="restart"/>
          </w:tcPr>
          <w:p>
            <w:pPr>
              <w:jc w:val="right"/>
              <w:ind w:right="150"/>
              <w:spacing w:after="0"/>
              <w:rPr>
                <w:sz w:val="20"/>
                <w:szCs w:val="20"/>
                <w:color w:val="auto"/>
              </w:rPr>
            </w:pPr>
            <w:r>
              <w:rPr>
                <w:rFonts w:ascii="Arial" w:cs="Arial" w:eastAsia="Arial" w:hAnsi="Arial"/>
                <w:sz w:val="13"/>
                <w:szCs w:val="13"/>
                <w:b w:val="1"/>
                <w:bCs w:val="1"/>
                <w:color w:val="auto"/>
              </w:rPr>
              <w:t>SHARES OF</w:t>
            </w:r>
          </w:p>
        </w:tc>
        <w:tc>
          <w:tcPr>
            <w:tcW w:w="760" w:type="dxa"/>
            <w:vAlign w:val="bottom"/>
          </w:tcPr>
          <w:p>
            <w:pPr>
              <w:spacing w:after="0"/>
              <w:rPr>
                <w:sz w:val="14"/>
                <w:szCs w:val="14"/>
                <w:color w:val="auto"/>
              </w:rPr>
            </w:pPr>
          </w:p>
        </w:tc>
        <w:tc>
          <w:tcPr>
            <w:tcW w:w="2080" w:type="dxa"/>
            <w:vAlign w:val="bottom"/>
            <w:gridSpan w:val="3"/>
          </w:tcPr>
          <w:p>
            <w:pPr>
              <w:jc w:val="right"/>
              <w:ind w:right="980"/>
              <w:spacing w:after="0"/>
              <w:rPr>
                <w:sz w:val="20"/>
                <w:szCs w:val="20"/>
                <w:color w:val="auto"/>
              </w:rPr>
            </w:pPr>
            <w:r>
              <w:rPr>
                <w:rFonts w:ascii="Arial" w:cs="Arial" w:eastAsia="Arial" w:hAnsi="Arial"/>
                <w:sz w:val="13"/>
                <w:szCs w:val="13"/>
                <w:b w:val="1"/>
                <w:bCs w:val="1"/>
                <w:color w:val="auto"/>
              </w:rPr>
              <w:t>CAPITAL STOCK</w:t>
            </w:r>
          </w:p>
        </w:tc>
        <w:tc>
          <w:tcPr>
            <w:tcW w:w="0" w:type="dxa"/>
            <w:vAlign w:val="bottom"/>
          </w:tcPr>
          <w:p>
            <w:pPr>
              <w:spacing w:after="0"/>
              <w:rPr>
                <w:sz w:val="1"/>
                <w:szCs w:val="1"/>
                <w:color w:val="auto"/>
              </w:rPr>
            </w:pPr>
          </w:p>
        </w:tc>
      </w:tr>
      <w:tr>
        <w:trPr>
          <w:trHeight w:val="35"/>
        </w:trPr>
        <w:tc>
          <w:tcPr>
            <w:tcW w:w="120" w:type="dxa"/>
            <w:vAlign w:val="bottom"/>
          </w:tcPr>
          <w:p>
            <w:pPr>
              <w:spacing w:after="0"/>
              <w:rPr>
                <w:sz w:val="3"/>
                <w:szCs w:val="3"/>
                <w:color w:val="auto"/>
              </w:rPr>
            </w:pPr>
          </w:p>
        </w:tc>
        <w:tc>
          <w:tcPr>
            <w:tcW w:w="3360" w:type="dxa"/>
            <w:vAlign w:val="bottom"/>
          </w:tcPr>
          <w:p>
            <w:pPr>
              <w:spacing w:after="0"/>
              <w:rPr>
                <w:sz w:val="3"/>
                <w:szCs w:val="3"/>
                <w:color w:val="auto"/>
              </w:rPr>
            </w:pPr>
          </w:p>
        </w:tc>
        <w:tc>
          <w:tcPr>
            <w:tcW w:w="174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760" w:type="dxa"/>
            <w:vAlign w:val="bottom"/>
            <w:tcBorders>
              <w:bottom w:val="single" w:sz="8" w:color="D9BA05"/>
            </w:tcBorders>
          </w:tcPr>
          <w:p>
            <w:pPr>
              <w:spacing w:after="0"/>
              <w:rPr>
                <w:sz w:val="3"/>
                <w:szCs w:val="3"/>
                <w:color w:val="auto"/>
              </w:rPr>
            </w:pPr>
          </w:p>
        </w:tc>
        <w:tc>
          <w:tcPr>
            <w:tcW w:w="880" w:type="dxa"/>
            <w:vAlign w:val="bottom"/>
            <w:tcBorders>
              <w:bottom w:val="single" w:sz="8" w:color="D9BA05"/>
            </w:tcBorders>
          </w:tcPr>
          <w:p>
            <w:pPr>
              <w:spacing w:after="0"/>
              <w:rPr>
                <w:sz w:val="3"/>
                <w:szCs w:val="3"/>
                <w:color w:val="auto"/>
              </w:rPr>
            </w:pPr>
          </w:p>
        </w:tc>
        <w:tc>
          <w:tcPr>
            <w:tcW w:w="1080" w:type="dxa"/>
            <w:vAlign w:val="bottom"/>
            <w:tcBorders>
              <w:bottom w:val="single" w:sz="8" w:color="D9BA05"/>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1"/>
        </w:trPr>
        <w:tc>
          <w:tcPr>
            <w:tcW w:w="1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740" w:type="dxa"/>
            <w:vAlign w:val="bottom"/>
          </w:tcPr>
          <w:p>
            <w:pPr>
              <w:jc w:val="right"/>
              <w:ind w:right="70"/>
              <w:spacing w:after="0"/>
              <w:rPr>
                <w:sz w:val="20"/>
                <w:szCs w:val="20"/>
                <w:color w:val="auto"/>
              </w:rPr>
            </w:pPr>
            <w:r>
              <w:rPr>
                <w:rFonts w:ascii="Arial" w:cs="Arial" w:eastAsia="Arial" w:hAnsi="Arial"/>
                <w:sz w:val="13"/>
                <w:szCs w:val="13"/>
                <w:b w:val="1"/>
                <w:bCs w:val="1"/>
                <w:color w:val="auto"/>
              </w:rPr>
              <w:t>COMMON STOCK</w:t>
            </w:r>
          </w:p>
        </w:tc>
        <w:tc>
          <w:tcPr>
            <w:tcW w:w="1340" w:type="dxa"/>
            <w:vAlign w:val="bottom"/>
          </w:tcPr>
          <w:p>
            <w:pPr>
              <w:jc w:val="right"/>
              <w:ind w:right="110"/>
              <w:spacing w:after="0"/>
              <w:rPr>
                <w:sz w:val="20"/>
                <w:szCs w:val="20"/>
                <w:color w:val="auto"/>
              </w:rPr>
            </w:pPr>
            <w:r>
              <w:rPr>
                <w:rFonts w:ascii="Arial" w:cs="Arial" w:eastAsia="Arial" w:hAnsi="Arial"/>
                <w:sz w:val="13"/>
                <w:szCs w:val="13"/>
                <w:b w:val="1"/>
                <w:bCs w:val="1"/>
                <w:color w:val="auto"/>
              </w:rPr>
              <w:t>COMMON STOCK</w:t>
            </w:r>
          </w:p>
        </w:tc>
        <w:tc>
          <w:tcPr>
            <w:tcW w:w="760" w:type="dxa"/>
            <w:vAlign w:val="bottom"/>
          </w:tcPr>
          <w:p>
            <w:pPr>
              <w:jc w:val="right"/>
              <w:ind w:right="50"/>
              <w:spacing w:after="0"/>
              <w:rPr>
                <w:sz w:val="20"/>
                <w:szCs w:val="20"/>
                <w:color w:val="auto"/>
              </w:rPr>
            </w:pPr>
            <w:r>
              <w:rPr>
                <w:rFonts w:ascii="Arial" w:cs="Arial" w:eastAsia="Arial" w:hAnsi="Arial"/>
                <w:sz w:val="13"/>
                <w:szCs w:val="13"/>
                <w:b w:val="1"/>
                <w:bCs w:val="1"/>
                <w:color w:val="auto"/>
              </w:rPr>
              <w:t>CLASS A</w:t>
            </w:r>
          </w:p>
        </w:tc>
        <w:tc>
          <w:tcPr>
            <w:tcW w:w="88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COMMON</w:t>
            </w:r>
          </w:p>
        </w:tc>
        <w:tc>
          <w:tcPr>
            <w:tcW w:w="12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PERCENT OF</w:t>
            </w:r>
          </w:p>
        </w:tc>
        <w:tc>
          <w:tcPr>
            <w:tcW w:w="0" w:type="dxa"/>
            <w:vAlign w:val="bottom"/>
          </w:tcPr>
          <w:p>
            <w:pPr>
              <w:spacing w:after="0"/>
              <w:rPr>
                <w:sz w:val="1"/>
                <w:szCs w:val="1"/>
                <w:color w:val="auto"/>
              </w:rPr>
            </w:pPr>
          </w:p>
        </w:tc>
      </w:tr>
      <w:tr>
        <w:trPr>
          <w:trHeight w:val="143"/>
        </w:trPr>
        <w:tc>
          <w:tcPr>
            <w:tcW w:w="1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740" w:type="dxa"/>
            <w:vAlign w:val="bottom"/>
          </w:tcPr>
          <w:p>
            <w:pPr>
              <w:jc w:val="right"/>
              <w:ind w:right="70"/>
              <w:spacing w:after="0" w:line="143" w:lineRule="exact"/>
              <w:rPr>
                <w:sz w:val="20"/>
                <w:szCs w:val="20"/>
                <w:color w:val="auto"/>
              </w:rPr>
            </w:pPr>
            <w:r>
              <w:rPr>
                <w:rFonts w:ascii="Arial" w:cs="Arial" w:eastAsia="Arial" w:hAnsi="Arial"/>
                <w:sz w:val="13"/>
                <w:szCs w:val="13"/>
                <w:b w:val="1"/>
                <w:bCs w:val="1"/>
                <w:color w:val="auto"/>
              </w:rPr>
              <w:t>BENEFICIALLY</w:t>
            </w:r>
          </w:p>
        </w:tc>
        <w:tc>
          <w:tcPr>
            <w:tcW w:w="1340" w:type="dxa"/>
            <w:vAlign w:val="bottom"/>
          </w:tcPr>
          <w:p>
            <w:pPr>
              <w:jc w:val="right"/>
              <w:ind w:right="150"/>
              <w:spacing w:after="0" w:line="143" w:lineRule="exact"/>
              <w:rPr>
                <w:sz w:val="20"/>
                <w:szCs w:val="20"/>
                <w:color w:val="auto"/>
              </w:rPr>
            </w:pPr>
            <w:r>
              <w:rPr>
                <w:rFonts w:ascii="Arial" w:cs="Arial" w:eastAsia="Arial" w:hAnsi="Arial"/>
                <w:sz w:val="13"/>
                <w:szCs w:val="13"/>
                <w:b w:val="1"/>
                <w:bCs w:val="1"/>
                <w:color w:val="auto"/>
              </w:rPr>
              <w:t>BENEFICIALLY</w:t>
            </w:r>
          </w:p>
        </w:tc>
        <w:tc>
          <w:tcPr>
            <w:tcW w:w="760" w:type="dxa"/>
            <w:vAlign w:val="bottom"/>
          </w:tcPr>
          <w:p>
            <w:pPr>
              <w:jc w:val="right"/>
              <w:ind w:right="50"/>
              <w:spacing w:after="0" w:line="143" w:lineRule="exact"/>
              <w:rPr>
                <w:sz w:val="20"/>
                <w:szCs w:val="20"/>
                <w:color w:val="auto"/>
              </w:rPr>
            </w:pPr>
            <w:r>
              <w:rPr>
                <w:rFonts w:ascii="Arial" w:cs="Arial" w:eastAsia="Arial" w:hAnsi="Arial"/>
                <w:sz w:val="13"/>
                <w:szCs w:val="13"/>
                <w:b w:val="1"/>
                <w:bCs w:val="1"/>
                <w:color w:val="auto"/>
              </w:rPr>
              <w:t>COMMON</w:t>
            </w:r>
          </w:p>
        </w:tc>
        <w:tc>
          <w:tcPr>
            <w:tcW w:w="880" w:type="dxa"/>
            <w:vAlign w:val="bottom"/>
            <w:vMerge w:val="continue"/>
          </w:tcPr>
          <w:p>
            <w:pPr>
              <w:spacing w:after="0"/>
              <w:rPr>
                <w:sz w:val="12"/>
                <w:szCs w:val="12"/>
                <w:color w:val="auto"/>
              </w:rPr>
            </w:pPr>
          </w:p>
        </w:tc>
        <w:tc>
          <w:tcPr>
            <w:tcW w:w="1200" w:type="dxa"/>
            <w:vAlign w:val="bottom"/>
            <w:gridSpan w:val="2"/>
          </w:tcPr>
          <w:p>
            <w:pPr>
              <w:jc w:val="right"/>
              <w:ind w:right="160"/>
              <w:spacing w:after="0" w:line="143" w:lineRule="exact"/>
              <w:rPr>
                <w:sz w:val="20"/>
                <w:szCs w:val="20"/>
                <w:color w:val="auto"/>
              </w:rPr>
            </w:pPr>
            <w:r>
              <w:rPr>
                <w:rFonts w:ascii="Arial" w:cs="Arial" w:eastAsia="Arial" w:hAnsi="Arial"/>
                <w:sz w:val="13"/>
                <w:szCs w:val="13"/>
                <w:b w:val="1"/>
                <w:bCs w:val="1"/>
                <w:color w:val="auto"/>
              </w:rPr>
              <w:t>TOTAL VOTING</w:t>
            </w:r>
          </w:p>
        </w:tc>
        <w:tc>
          <w:tcPr>
            <w:tcW w:w="0" w:type="dxa"/>
            <w:vAlign w:val="bottom"/>
          </w:tcPr>
          <w:p>
            <w:pPr>
              <w:spacing w:after="0"/>
              <w:rPr>
                <w:sz w:val="1"/>
                <w:szCs w:val="1"/>
                <w:color w:val="auto"/>
              </w:rPr>
            </w:pPr>
          </w:p>
        </w:tc>
      </w:tr>
      <w:tr>
        <w:trPr>
          <w:trHeight w:val="240"/>
        </w:trPr>
        <w:tc>
          <w:tcPr>
            <w:tcW w:w="120" w:type="dxa"/>
            <w:vAlign w:val="bottom"/>
          </w:tcPr>
          <w:p>
            <w:pPr>
              <w:spacing w:after="0"/>
              <w:rPr>
                <w:sz w:val="20"/>
                <w:szCs w:val="20"/>
                <w:color w:val="auto"/>
              </w:rPr>
            </w:pPr>
          </w:p>
        </w:tc>
        <w:tc>
          <w:tcPr>
            <w:tcW w:w="3360" w:type="dxa"/>
            <w:vAlign w:val="bottom"/>
          </w:tcPr>
          <w:p>
            <w:pPr>
              <w:ind w:left="40"/>
              <w:spacing w:after="0"/>
              <w:rPr>
                <w:sz w:val="20"/>
                <w:szCs w:val="20"/>
                <w:color w:val="auto"/>
              </w:rPr>
            </w:pPr>
            <w:r>
              <w:rPr>
                <w:rFonts w:ascii="Arial" w:cs="Arial" w:eastAsia="Arial" w:hAnsi="Arial"/>
                <w:sz w:val="13"/>
                <w:szCs w:val="13"/>
                <w:b w:val="1"/>
                <w:bCs w:val="1"/>
                <w:color w:val="auto"/>
              </w:rPr>
              <w:t>NAME OF BENEFICIAL OWNER</w:t>
            </w:r>
          </w:p>
        </w:tc>
        <w:tc>
          <w:tcPr>
            <w:tcW w:w="1740" w:type="dxa"/>
            <w:vAlign w:val="bottom"/>
          </w:tcPr>
          <w:p>
            <w:pPr>
              <w:jc w:val="right"/>
              <w:ind w:right="30"/>
              <w:spacing w:after="0"/>
              <w:rPr>
                <w:sz w:val="20"/>
                <w:szCs w:val="20"/>
                <w:color w:val="auto"/>
              </w:rPr>
            </w:pPr>
            <w:r>
              <w:rPr>
                <w:rFonts w:ascii="Arial" w:cs="Arial" w:eastAsia="Arial" w:hAnsi="Arial"/>
                <w:sz w:val="13"/>
                <w:szCs w:val="13"/>
                <w:b w:val="1"/>
                <w:bCs w:val="1"/>
                <w:color w:val="auto"/>
              </w:rPr>
              <w:t>OWNED</w:t>
            </w:r>
            <w:r>
              <w:rPr>
                <w:rFonts w:ascii="Arial" w:cs="Arial" w:eastAsia="Arial" w:hAnsi="Arial"/>
                <w:sz w:val="20"/>
                <w:szCs w:val="20"/>
                <w:b w:val="1"/>
                <w:bCs w:val="1"/>
                <w:color w:val="auto"/>
                <w:vertAlign w:val="superscript"/>
              </w:rPr>
              <w:t>(1)</w:t>
            </w:r>
          </w:p>
        </w:tc>
        <w:tc>
          <w:tcPr>
            <w:tcW w:w="1340" w:type="dxa"/>
            <w:vAlign w:val="bottom"/>
          </w:tcPr>
          <w:p>
            <w:pPr>
              <w:jc w:val="right"/>
              <w:ind w:right="110"/>
              <w:spacing w:after="0"/>
              <w:rPr>
                <w:sz w:val="20"/>
                <w:szCs w:val="20"/>
                <w:color w:val="auto"/>
              </w:rPr>
            </w:pPr>
            <w:r>
              <w:rPr>
                <w:rFonts w:ascii="Arial" w:cs="Arial" w:eastAsia="Arial" w:hAnsi="Arial"/>
                <w:sz w:val="13"/>
                <w:szCs w:val="13"/>
                <w:b w:val="1"/>
                <w:bCs w:val="1"/>
                <w:color w:val="auto"/>
              </w:rPr>
              <w:t>OWNED</w:t>
            </w:r>
            <w:r>
              <w:rPr>
                <w:rFonts w:ascii="Arial" w:cs="Arial" w:eastAsia="Arial" w:hAnsi="Arial"/>
                <w:sz w:val="20"/>
                <w:szCs w:val="20"/>
                <w:b w:val="1"/>
                <w:bCs w:val="1"/>
                <w:color w:val="auto"/>
                <w:vertAlign w:val="superscript"/>
              </w:rPr>
              <w:t>(1)</w:t>
            </w:r>
          </w:p>
        </w:tc>
        <w:tc>
          <w:tcPr>
            <w:tcW w:w="760" w:type="dxa"/>
            <w:vAlign w:val="bottom"/>
          </w:tcPr>
          <w:p>
            <w:pPr>
              <w:jc w:val="right"/>
              <w:ind w:right="30"/>
              <w:spacing w:after="0"/>
              <w:rPr>
                <w:sz w:val="20"/>
                <w:szCs w:val="20"/>
                <w:color w:val="auto"/>
              </w:rPr>
            </w:pPr>
            <w:r>
              <w:rPr>
                <w:rFonts w:ascii="Arial" w:cs="Arial" w:eastAsia="Arial" w:hAnsi="Arial"/>
                <w:sz w:val="13"/>
                <w:szCs w:val="13"/>
                <w:b w:val="1"/>
                <w:bCs w:val="1"/>
                <w:color w:val="auto"/>
              </w:rPr>
              <w:t>STOCK</w:t>
            </w:r>
            <w:r>
              <w:rPr>
                <w:rFonts w:ascii="Arial" w:cs="Arial" w:eastAsia="Arial" w:hAnsi="Arial"/>
                <w:sz w:val="20"/>
                <w:szCs w:val="20"/>
                <w:b w:val="1"/>
                <w:bCs w:val="1"/>
                <w:color w:val="auto"/>
                <w:vertAlign w:val="superscript"/>
              </w:rPr>
              <w:t>(1)</w:t>
            </w:r>
          </w:p>
        </w:tc>
        <w:tc>
          <w:tcPr>
            <w:tcW w:w="880" w:type="dxa"/>
            <w:vAlign w:val="bottom"/>
          </w:tcPr>
          <w:p>
            <w:pPr>
              <w:jc w:val="right"/>
              <w:ind w:right="49"/>
              <w:spacing w:after="0"/>
              <w:rPr>
                <w:sz w:val="20"/>
                <w:szCs w:val="20"/>
                <w:color w:val="auto"/>
              </w:rPr>
            </w:pPr>
            <w:r>
              <w:rPr>
                <w:rFonts w:ascii="Arial" w:cs="Arial" w:eastAsia="Arial" w:hAnsi="Arial"/>
                <w:sz w:val="13"/>
                <w:szCs w:val="13"/>
                <w:b w:val="1"/>
                <w:bCs w:val="1"/>
                <w:color w:val="auto"/>
              </w:rPr>
              <w:t>STOCK</w:t>
            </w:r>
            <w:r>
              <w:rPr>
                <w:rFonts w:ascii="Arial" w:cs="Arial" w:eastAsia="Arial" w:hAnsi="Arial"/>
                <w:sz w:val="20"/>
                <w:szCs w:val="20"/>
                <w:b w:val="1"/>
                <w:bCs w:val="1"/>
                <w:color w:val="auto"/>
                <w:vertAlign w:val="superscript"/>
              </w:rPr>
              <w:t>(1)</w:t>
            </w:r>
          </w:p>
        </w:tc>
        <w:tc>
          <w:tcPr>
            <w:tcW w:w="12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POWER</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297"/>
        </w:trPr>
        <w:tc>
          <w:tcPr>
            <w:tcW w:w="120" w:type="dxa"/>
            <w:vAlign w:val="bottom"/>
            <w:shd w:val="clear" w:color="auto" w:fill="E6E6E6"/>
          </w:tcPr>
          <w:p>
            <w:pPr>
              <w:spacing w:after="0"/>
              <w:rPr>
                <w:sz w:val="24"/>
                <w:szCs w:val="24"/>
                <w:color w:val="auto"/>
              </w:rPr>
            </w:pPr>
          </w:p>
        </w:tc>
        <w:tc>
          <w:tcPr>
            <w:tcW w:w="3360" w:type="dxa"/>
            <w:vAlign w:val="bottom"/>
            <w:shd w:val="clear" w:color="auto" w:fill="E6E6E6"/>
          </w:tcPr>
          <w:p>
            <w:pPr>
              <w:ind w:left="40"/>
              <w:spacing w:after="0"/>
              <w:rPr>
                <w:sz w:val="20"/>
                <w:szCs w:val="20"/>
                <w:color w:val="auto"/>
              </w:rPr>
            </w:pPr>
            <w:r>
              <w:rPr>
                <w:rFonts w:ascii="Arial" w:cs="Arial" w:eastAsia="Arial" w:hAnsi="Arial"/>
                <w:sz w:val="14"/>
                <w:szCs w:val="14"/>
                <w:b w:val="1"/>
                <w:bCs w:val="1"/>
                <w:color w:val="auto"/>
              </w:rPr>
              <w:t>BlackRock Inc.</w:t>
            </w:r>
            <w:r>
              <w:rPr>
                <w:rFonts w:ascii="Arial" w:cs="Arial" w:eastAsia="Arial" w:hAnsi="Arial"/>
                <w:sz w:val="23"/>
                <w:szCs w:val="23"/>
                <w:b w:val="1"/>
                <w:bCs w:val="1"/>
                <w:color w:val="auto"/>
                <w:vertAlign w:val="superscript"/>
              </w:rPr>
              <w:t>(2)</w:t>
            </w:r>
          </w:p>
        </w:tc>
        <w:tc>
          <w:tcPr>
            <w:tcW w:w="1740" w:type="dxa"/>
            <w:vAlign w:val="bottom"/>
            <w:shd w:val="clear" w:color="auto" w:fill="E6E6E6"/>
          </w:tcPr>
          <w:p>
            <w:pPr>
              <w:jc w:val="right"/>
              <w:ind w:right="30"/>
              <w:spacing w:after="0"/>
              <w:rPr>
                <w:sz w:val="20"/>
                <w:szCs w:val="20"/>
                <w:color w:val="auto"/>
              </w:rPr>
            </w:pPr>
            <w:r>
              <w:rPr>
                <w:rFonts w:ascii="Arial" w:cs="Arial" w:eastAsia="Arial" w:hAnsi="Arial"/>
                <w:sz w:val="14"/>
                <w:szCs w:val="14"/>
                <w:color w:val="auto"/>
              </w:rPr>
              <w:t>—</w:t>
            </w:r>
          </w:p>
        </w:tc>
        <w:tc>
          <w:tcPr>
            <w:tcW w:w="1340" w:type="dxa"/>
            <w:vAlign w:val="bottom"/>
            <w:shd w:val="clear" w:color="auto" w:fill="E6E6E6"/>
          </w:tcPr>
          <w:p>
            <w:pPr>
              <w:jc w:val="right"/>
              <w:ind w:right="110"/>
              <w:spacing w:after="0"/>
              <w:rPr>
                <w:sz w:val="20"/>
                <w:szCs w:val="20"/>
                <w:color w:val="auto"/>
              </w:rPr>
            </w:pPr>
            <w:r>
              <w:rPr>
                <w:rFonts w:ascii="Arial" w:cs="Arial" w:eastAsia="Arial" w:hAnsi="Arial"/>
                <w:sz w:val="14"/>
                <w:szCs w:val="14"/>
                <w:color w:val="auto"/>
              </w:rPr>
              <w:t>1,123,289</w:t>
            </w:r>
          </w:p>
        </w:tc>
        <w:tc>
          <w:tcPr>
            <w:tcW w:w="760" w:type="dxa"/>
            <w:vAlign w:val="bottom"/>
            <w:shd w:val="clear" w:color="auto" w:fill="E6E6E6"/>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6.88%</w:t>
            </w:r>
          </w:p>
        </w:tc>
        <w:tc>
          <w:tcPr>
            <w:tcW w:w="1200" w:type="dxa"/>
            <w:vAlign w:val="bottom"/>
            <w:gridSpan w:val="2"/>
            <w:shd w:val="clear" w:color="auto" w:fill="E6E6E6"/>
          </w:tcPr>
          <w:p>
            <w:pPr>
              <w:jc w:val="right"/>
              <w:ind w:right="12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3360" w:type="dxa"/>
            <w:vAlign w:val="bottom"/>
          </w:tcPr>
          <w:p>
            <w:pPr>
              <w:ind w:left="40"/>
              <w:spacing w:after="0"/>
              <w:rPr>
                <w:sz w:val="20"/>
                <w:szCs w:val="20"/>
                <w:color w:val="auto"/>
              </w:rPr>
            </w:pPr>
            <w:r>
              <w:rPr>
                <w:rFonts w:ascii="Arial" w:cs="Arial" w:eastAsia="Arial" w:hAnsi="Arial"/>
                <w:sz w:val="14"/>
                <w:szCs w:val="14"/>
                <w:b w:val="1"/>
                <w:bCs w:val="1"/>
                <w:color w:val="auto"/>
              </w:rPr>
              <w:t>Royce &amp; Associates, LP</w:t>
            </w:r>
            <w:r>
              <w:rPr>
                <w:rFonts w:ascii="Arial" w:cs="Arial" w:eastAsia="Arial" w:hAnsi="Arial"/>
                <w:sz w:val="23"/>
                <w:szCs w:val="23"/>
                <w:b w:val="1"/>
                <w:bCs w:val="1"/>
                <w:color w:val="auto"/>
                <w:vertAlign w:val="superscript"/>
              </w:rPr>
              <w:t>(3)</w:t>
            </w:r>
          </w:p>
        </w:tc>
        <w:tc>
          <w:tcPr>
            <w:tcW w:w="17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10"/>
              <w:spacing w:after="0"/>
              <w:rPr>
                <w:sz w:val="20"/>
                <w:szCs w:val="20"/>
                <w:color w:val="auto"/>
              </w:rPr>
            </w:pPr>
            <w:r>
              <w:rPr>
                <w:rFonts w:ascii="Arial" w:cs="Arial" w:eastAsia="Arial" w:hAnsi="Arial"/>
                <w:sz w:val="14"/>
                <w:szCs w:val="14"/>
                <w:color w:val="auto"/>
              </w:rPr>
              <w:t>1,052,461</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6.44%</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83"/>
        </w:trPr>
        <w:tc>
          <w:tcPr>
            <w:tcW w:w="120" w:type="dxa"/>
            <w:vAlign w:val="bottom"/>
            <w:shd w:val="clear" w:color="auto" w:fill="E6E6E6"/>
          </w:tcPr>
          <w:p>
            <w:pPr>
              <w:spacing w:after="0"/>
              <w:rPr>
                <w:sz w:val="24"/>
                <w:szCs w:val="24"/>
                <w:color w:val="auto"/>
              </w:rPr>
            </w:pPr>
          </w:p>
        </w:tc>
        <w:tc>
          <w:tcPr>
            <w:tcW w:w="3360" w:type="dxa"/>
            <w:vAlign w:val="bottom"/>
            <w:shd w:val="clear" w:color="auto" w:fill="E6E6E6"/>
          </w:tcPr>
          <w:p>
            <w:pPr>
              <w:ind w:left="40"/>
              <w:spacing w:after="0"/>
              <w:rPr>
                <w:sz w:val="20"/>
                <w:szCs w:val="20"/>
                <w:color w:val="auto"/>
              </w:rPr>
            </w:pPr>
            <w:r>
              <w:rPr>
                <w:rFonts w:ascii="Arial" w:cs="Arial" w:eastAsia="Arial" w:hAnsi="Arial"/>
                <w:sz w:val="14"/>
                <w:szCs w:val="14"/>
                <w:b w:val="1"/>
                <w:bCs w:val="1"/>
                <w:color w:val="auto"/>
              </w:rPr>
              <w:t>Dimensional Fund Advisors LP</w:t>
            </w:r>
            <w:r>
              <w:rPr>
                <w:rFonts w:ascii="Arial" w:cs="Arial" w:eastAsia="Arial" w:hAnsi="Arial"/>
                <w:sz w:val="23"/>
                <w:szCs w:val="23"/>
                <w:b w:val="1"/>
                <w:bCs w:val="1"/>
                <w:color w:val="auto"/>
                <w:vertAlign w:val="superscript"/>
              </w:rPr>
              <w:t>(4)</w:t>
            </w:r>
          </w:p>
        </w:tc>
        <w:tc>
          <w:tcPr>
            <w:tcW w:w="1740" w:type="dxa"/>
            <w:vAlign w:val="bottom"/>
            <w:shd w:val="clear" w:color="auto" w:fill="E6E6E6"/>
          </w:tcPr>
          <w:p>
            <w:pPr>
              <w:jc w:val="right"/>
              <w:ind w:right="30"/>
              <w:spacing w:after="0"/>
              <w:rPr>
                <w:sz w:val="20"/>
                <w:szCs w:val="20"/>
                <w:color w:val="auto"/>
              </w:rPr>
            </w:pPr>
            <w:r>
              <w:rPr>
                <w:rFonts w:ascii="Arial" w:cs="Arial" w:eastAsia="Arial" w:hAnsi="Arial"/>
                <w:sz w:val="14"/>
                <w:szCs w:val="14"/>
                <w:color w:val="auto"/>
              </w:rPr>
              <w:t>—</w:t>
            </w:r>
          </w:p>
        </w:tc>
        <w:tc>
          <w:tcPr>
            <w:tcW w:w="1340" w:type="dxa"/>
            <w:vAlign w:val="bottom"/>
            <w:shd w:val="clear" w:color="auto" w:fill="E6E6E6"/>
          </w:tcPr>
          <w:p>
            <w:pPr>
              <w:jc w:val="right"/>
              <w:ind w:right="110"/>
              <w:spacing w:after="0"/>
              <w:rPr>
                <w:sz w:val="20"/>
                <w:szCs w:val="20"/>
                <w:color w:val="auto"/>
              </w:rPr>
            </w:pPr>
            <w:r>
              <w:rPr>
                <w:rFonts w:ascii="Arial" w:cs="Arial" w:eastAsia="Arial" w:hAnsi="Arial"/>
                <w:sz w:val="14"/>
                <w:szCs w:val="14"/>
                <w:color w:val="auto"/>
              </w:rPr>
              <w:t>861,123</w:t>
            </w:r>
          </w:p>
        </w:tc>
        <w:tc>
          <w:tcPr>
            <w:tcW w:w="760" w:type="dxa"/>
            <w:vAlign w:val="bottom"/>
            <w:shd w:val="clear" w:color="auto" w:fill="E6E6E6"/>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5.27%</w:t>
            </w:r>
          </w:p>
        </w:tc>
        <w:tc>
          <w:tcPr>
            <w:tcW w:w="1200" w:type="dxa"/>
            <w:vAlign w:val="bottom"/>
            <w:gridSpan w:val="2"/>
            <w:shd w:val="clear" w:color="auto" w:fill="E6E6E6"/>
          </w:tcPr>
          <w:p>
            <w:pPr>
              <w:jc w:val="right"/>
              <w:ind w:right="12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3360" w:type="dxa"/>
            <w:vAlign w:val="bottom"/>
          </w:tcPr>
          <w:p>
            <w:pPr>
              <w:ind w:left="40"/>
              <w:spacing w:after="0"/>
              <w:rPr>
                <w:sz w:val="20"/>
                <w:szCs w:val="20"/>
                <w:color w:val="auto"/>
              </w:rPr>
            </w:pPr>
            <w:r>
              <w:rPr>
                <w:rFonts w:ascii="Arial" w:cs="Arial" w:eastAsia="Arial" w:hAnsi="Arial"/>
                <w:sz w:val="14"/>
                <w:szCs w:val="14"/>
                <w:b w:val="1"/>
                <w:bCs w:val="1"/>
                <w:color w:val="auto"/>
              </w:rPr>
              <w:t>Goldman Sachs Asset Management, L.P.</w:t>
            </w:r>
            <w:r>
              <w:rPr>
                <w:rFonts w:ascii="Arial" w:cs="Arial" w:eastAsia="Arial" w:hAnsi="Arial"/>
                <w:sz w:val="23"/>
                <w:szCs w:val="23"/>
                <w:b w:val="1"/>
                <w:bCs w:val="1"/>
                <w:color w:val="auto"/>
                <w:vertAlign w:val="superscript"/>
              </w:rPr>
              <w:t>(5)</w:t>
            </w:r>
          </w:p>
        </w:tc>
        <w:tc>
          <w:tcPr>
            <w:tcW w:w="1740" w:type="dxa"/>
            <w:vAlign w:val="bottom"/>
          </w:tcPr>
          <w:p>
            <w:pPr>
              <w:spacing w:after="0"/>
              <w:rPr>
                <w:sz w:val="24"/>
                <w:szCs w:val="24"/>
                <w:color w:val="auto"/>
              </w:rPr>
            </w:pPr>
          </w:p>
        </w:tc>
        <w:tc>
          <w:tcPr>
            <w:tcW w:w="1340" w:type="dxa"/>
            <w:vAlign w:val="bottom"/>
          </w:tcPr>
          <w:p>
            <w:pPr>
              <w:jc w:val="right"/>
              <w:ind w:right="110"/>
              <w:spacing w:after="0"/>
              <w:rPr>
                <w:sz w:val="20"/>
                <w:szCs w:val="20"/>
                <w:color w:val="auto"/>
              </w:rPr>
            </w:pPr>
            <w:r>
              <w:rPr>
                <w:rFonts w:ascii="Arial" w:cs="Arial" w:eastAsia="Arial" w:hAnsi="Arial"/>
                <w:sz w:val="14"/>
                <w:szCs w:val="14"/>
                <w:color w:val="auto"/>
              </w:rPr>
              <w:t>850,626</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5.21%</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37"/>
        </w:trPr>
        <w:tc>
          <w:tcPr>
            <w:tcW w:w="120" w:type="dxa"/>
            <w:vAlign w:val="bottom"/>
            <w:tcBorders>
              <w:bottom w:val="single" w:sz="8" w:color="E6E6E6"/>
            </w:tcBorders>
            <w:shd w:val="clear" w:color="auto" w:fill="E6E6E6"/>
          </w:tcPr>
          <w:p>
            <w:pPr>
              <w:spacing w:after="0"/>
              <w:rPr>
                <w:sz w:val="20"/>
                <w:szCs w:val="20"/>
                <w:color w:val="auto"/>
              </w:rPr>
            </w:pPr>
          </w:p>
        </w:tc>
        <w:tc>
          <w:tcPr>
            <w:tcW w:w="33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4"/>
                <w:szCs w:val="14"/>
                <w:b w:val="1"/>
                <w:bCs w:val="1"/>
                <w:color w:val="auto"/>
              </w:rPr>
              <w:t>Peter A. Bridgman</w:t>
            </w:r>
          </w:p>
        </w:tc>
        <w:tc>
          <w:tcPr>
            <w:tcW w:w="1740" w:type="dxa"/>
            <w:vAlign w:val="bottom"/>
            <w:tcBorders>
              <w:bottom w:val="single" w:sz="8" w:color="E6E6E6"/>
            </w:tcBorders>
            <w:shd w:val="clear" w:color="auto" w:fill="E6E6E6"/>
          </w:tcPr>
          <w:p>
            <w:pPr>
              <w:jc w:val="right"/>
              <w:ind w:right="3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E6E6E6"/>
            </w:tcBorders>
            <w:shd w:val="clear" w:color="auto" w:fill="E6E6E6"/>
          </w:tcPr>
          <w:p>
            <w:pPr>
              <w:jc w:val="right"/>
              <w:ind w:right="110"/>
              <w:spacing w:after="0"/>
              <w:rPr>
                <w:sz w:val="20"/>
                <w:szCs w:val="20"/>
                <w:color w:val="auto"/>
              </w:rPr>
            </w:pPr>
            <w:r>
              <w:rPr>
                <w:rFonts w:ascii="Arial" w:cs="Arial" w:eastAsia="Arial" w:hAnsi="Arial"/>
                <w:sz w:val="14"/>
                <w:szCs w:val="14"/>
                <w:color w:val="auto"/>
              </w:rPr>
              <w:t>57,013</w:t>
            </w:r>
          </w:p>
        </w:tc>
        <w:tc>
          <w:tcPr>
            <w:tcW w:w="760" w:type="dxa"/>
            <w:vAlign w:val="bottom"/>
            <w:tcBorders>
              <w:bottom w:val="single" w:sz="8" w:color="E6E6E6"/>
            </w:tcBorders>
            <w:shd w:val="clear" w:color="auto" w:fill="E6E6E6"/>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3360" w:type="dxa"/>
            <w:vAlign w:val="bottom"/>
          </w:tcPr>
          <w:p>
            <w:pPr>
              <w:ind w:left="40"/>
              <w:spacing w:after="0"/>
              <w:rPr>
                <w:sz w:val="20"/>
                <w:szCs w:val="20"/>
                <w:color w:val="auto"/>
              </w:rPr>
            </w:pPr>
            <w:r>
              <w:rPr>
                <w:rFonts w:ascii="Arial" w:cs="Arial" w:eastAsia="Arial" w:hAnsi="Arial"/>
                <w:sz w:val="14"/>
                <w:szCs w:val="14"/>
                <w:b w:val="1"/>
                <w:bCs w:val="1"/>
                <w:color w:val="auto"/>
              </w:rPr>
              <w:t>Sallie A. DeMarsilis</w:t>
            </w:r>
            <w:r>
              <w:rPr>
                <w:rFonts w:ascii="Arial" w:cs="Arial" w:eastAsia="Arial" w:hAnsi="Arial"/>
                <w:sz w:val="23"/>
                <w:szCs w:val="23"/>
                <w:b w:val="1"/>
                <w:bCs w:val="1"/>
                <w:color w:val="auto"/>
                <w:vertAlign w:val="superscript"/>
              </w:rPr>
              <w:t>(6)</w:t>
            </w:r>
          </w:p>
        </w:tc>
        <w:tc>
          <w:tcPr>
            <w:tcW w:w="17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10"/>
              <w:spacing w:after="0"/>
              <w:rPr>
                <w:sz w:val="20"/>
                <w:szCs w:val="20"/>
                <w:color w:val="auto"/>
              </w:rPr>
            </w:pPr>
            <w:r>
              <w:rPr>
                <w:rFonts w:ascii="Arial" w:cs="Arial" w:eastAsia="Arial" w:hAnsi="Arial"/>
                <w:sz w:val="14"/>
                <w:szCs w:val="14"/>
                <w:color w:val="auto"/>
              </w:rPr>
              <w:t>168,897</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1.03%</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3"/>
        </w:trPr>
        <w:tc>
          <w:tcPr>
            <w:tcW w:w="120" w:type="dxa"/>
            <w:vAlign w:val="bottom"/>
            <w:shd w:val="clear" w:color="auto" w:fill="E6E6E6"/>
          </w:tcPr>
          <w:p>
            <w:pPr>
              <w:spacing w:after="0"/>
              <w:rPr>
                <w:sz w:val="24"/>
                <w:szCs w:val="24"/>
                <w:color w:val="auto"/>
              </w:rPr>
            </w:pPr>
          </w:p>
        </w:tc>
        <w:tc>
          <w:tcPr>
            <w:tcW w:w="3360" w:type="dxa"/>
            <w:vAlign w:val="bottom"/>
            <w:shd w:val="clear" w:color="auto" w:fill="E6E6E6"/>
          </w:tcPr>
          <w:p>
            <w:pPr>
              <w:ind w:left="40"/>
              <w:spacing w:after="0"/>
              <w:rPr>
                <w:sz w:val="20"/>
                <w:szCs w:val="20"/>
                <w:color w:val="auto"/>
              </w:rPr>
            </w:pPr>
            <w:r>
              <w:rPr>
                <w:rFonts w:ascii="Arial" w:cs="Arial" w:eastAsia="Arial" w:hAnsi="Arial"/>
                <w:sz w:val="14"/>
                <w:szCs w:val="14"/>
                <w:b w:val="1"/>
                <w:bCs w:val="1"/>
                <w:color w:val="auto"/>
              </w:rPr>
              <w:t>Alexander Grinberg</w:t>
            </w:r>
            <w:r>
              <w:rPr>
                <w:rFonts w:ascii="Arial" w:cs="Arial" w:eastAsia="Arial" w:hAnsi="Arial"/>
                <w:sz w:val="23"/>
                <w:szCs w:val="23"/>
                <w:b w:val="1"/>
                <w:bCs w:val="1"/>
                <w:color w:val="auto"/>
                <w:vertAlign w:val="superscript"/>
              </w:rPr>
              <w:t>(7)</w:t>
            </w:r>
          </w:p>
        </w:tc>
        <w:tc>
          <w:tcPr>
            <w:tcW w:w="1740" w:type="dxa"/>
            <w:vAlign w:val="bottom"/>
            <w:shd w:val="clear" w:color="auto" w:fill="E6E6E6"/>
          </w:tcPr>
          <w:p>
            <w:pPr>
              <w:jc w:val="right"/>
              <w:ind w:right="30"/>
              <w:spacing w:after="0"/>
              <w:rPr>
                <w:sz w:val="20"/>
                <w:szCs w:val="20"/>
                <w:color w:val="auto"/>
              </w:rPr>
            </w:pPr>
            <w:r>
              <w:rPr>
                <w:rFonts w:ascii="Arial" w:cs="Arial" w:eastAsia="Arial" w:hAnsi="Arial"/>
                <w:sz w:val="14"/>
                <w:szCs w:val="14"/>
                <w:color w:val="auto"/>
              </w:rPr>
              <w:t>388,420</w:t>
            </w:r>
          </w:p>
        </w:tc>
        <w:tc>
          <w:tcPr>
            <w:tcW w:w="1340" w:type="dxa"/>
            <w:vAlign w:val="bottom"/>
            <w:shd w:val="clear" w:color="auto" w:fill="E6E6E6"/>
          </w:tcPr>
          <w:p>
            <w:pPr>
              <w:jc w:val="right"/>
              <w:ind w:right="110"/>
              <w:spacing w:after="0"/>
              <w:rPr>
                <w:sz w:val="20"/>
                <w:szCs w:val="20"/>
                <w:color w:val="auto"/>
              </w:rPr>
            </w:pPr>
            <w:r>
              <w:rPr>
                <w:rFonts w:ascii="Arial" w:cs="Arial" w:eastAsia="Arial" w:hAnsi="Arial"/>
                <w:sz w:val="14"/>
                <w:szCs w:val="14"/>
                <w:color w:val="auto"/>
              </w:rPr>
              <w:t>77,796</w:t>
            </w:r>
          </w:p>
        </w:tc>
        <w:tc>
          <w:tcPr>
            <w:tcW w:w="760" w:type="dxa"/>
            <w:vAlign w:val="bottom"/>
            <w:shd w:val="clear" w:color="auto" w:fill="E6E6E6"/>
          </w:tcPr>
          <w:p>
            <w:pPr>
              <w:jc w:val="right"/>
              <w:ind w:right="30"/>
              <w:spacing w:after="0"/>
              <w:rPr>
                <w:sz w:val="20"/>
                <w:szCs w:val="20"/>
                <w:color w:val="auto"/>
              </w:rPr>
            </w:pPr>
            <w:r>
              <w:rPr>
                <w:rFonts w:ascii="Arial" w:cs="Arial" w:eastAsia="Arial" w:hAnsi="Arial"/>
                <w:sz w:val="14"/>
                <w:szCs w:val="14"/>
                <w:color w:val="auto"/>
              </w:rPr>
              <w:t>6.02%</w:t>
            </w:r>
          </w:p>
        </w:tc>
        <w:tc>
          <w:tcPr>
            <w:tcW w:w="88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gridSpan w:val="2"/>
            <w:shd w:val="clear" w:color="auto" w:fill="E6E6E6"/>
          </w:tcPr>
          <w:p>
            <w:pPr>
              <w:jc w:val="right"/>
              <w:ind w:right="120"/>
              <w:spacing w:after="0"/>
              <w:rPr>
                <w:sz w:val="20"/>
                <w:szCs w:val="20"/>
                <w:color w:val="auto"/>
              </w:rPr>
            </w:pPr>
            <w:r>
              <w:rPr>
                <w:rFonts w:ascii="Arial" w:cs="Arial" w:eastAsia="Arial" w:hAnsi="Arial"/>
                <w:sz w:val="14"/>
                <w:szCs w:val="14"/>
                <w:color w:val="auto"/>
              </w:rPr>
              <w:t>4.90%</w:t>
            </w:r>
          </w:p>
        </w:tc>
        <w:tc>
          <w:tcPr>
            <w:tcW w:w="0" w:type="dxa"/>
            <w:vAlign w:val="bottom"/>
          </w:tcPr>
          <w:p>
            <w:pPr>
              <w:spacing w:after="0"/>
              <w:rPr>
                <w:sz w:val="1"/>
                <w:szCs w:val="1"/>
                <w:color w:val="auto"/>
              </w:rPr>
            </w:pPr>
          </w:p>
        </w:tc>
      </w:tr>
      <w:tr>
        <w:trPr>
          <w:trHeight w:val="283"/>
        </w:trPr>
        <w:tc>
          <w:tcPr>
            <w:tcW w:w="120" w:type="dxa"/>
            <w:vAlign w:val="bottom"/>
          </w:tcPr>
          <w:p>
            <w:pPr>
              <w:spacing w:after="0"/>
              <w:rPr>
                <w:sz w:val="24"/>
                <w:szCs w:val="24"/>
                <w:color w:val="auto"/>
              </w:rPr>
            </w:pPr>
          </w:p>
        </w:tc>
        <w:tc>
          <w:tcPr>
            <w:tcW w:w="3360" w:type="dxa"/>
            <w:vAlign w:val="bottom"/>
          </w:tcPr>
          <w:p>
            <w:pPr>
              <w:ind w:left="40"/>
              <w:spacing w:after="0"/>
              <w:rPr>
                <w:sz w:val="20"/>
                <w:szCs w:val="20"/>
                <w:color w:val="auto"/>
              </w:rPr>
            </w:pPr>
            <w:r>
              <w:rPr>
                <w:rFonts w:ascii="Arial" w:cs="Arial" w:eastAsia="Arial" w:hAnsi="Arial"/>
                <w:sz w:val="14"/>
                <w:szCs w:val="14"/>
                <w:b w:val="1"/>
                <w:bCs w:val="1"/>
                <w:color w:val="auto"/>
              </w:rPr>
              <w:t>Efraim Grinberg</w:t>
            </w:r>
            <w:r>
              <w:rPr>
                <w:rFonts w:ascii="Arial" w:cs="Arial" w:eastAsia="Arial" w:hAnsi="Arial"/>
                <w:sz w:val="23"/>
                <w:szCs w:val="23"/>
                <w:b w:val="1"/>
                <w:bCs w:val="1"/>
                <w:color w:val="auto"/>
                <w:vertAlign w:val="superscript"/>
              </w:rPr>
              <w:t>(8)</w:t>
            </w:r>
          </w:p>
        </w:tc>
        <w:tc>
          <w:tcPr>
            <w:tcW w:w="1740" w:type="dxa"/>
            <w:vAlign w:val="bottom"/>
          </w:tcPr>
          <w:p>
            <w:pPr>
              <w:jc w:val="right"/>
              <w:ind w:right="30"/>
              <w:spacing w:after="0"/>
              <w:rPr>
                <w:sz w:val="20"/>
                <w:szCs w:val="20"/>
                <w:color w:val="auto"/>
              </w:rPr>
            </w:pPr>
            <w:r>
              <w:rPr>
                <w:rFonts w:ascii="Arial" w:cs="Arial" w:eastAsia="Arial" w:hAnsi="Arial"/>
                <w:sz w:val="14"/>
                <w:szCs w:val="14"/>
                <w:color w:val="auto"/>
              </w:rPr>
              <w:t>5,353,718</w:t>
            </w:r>
          </w:p>
        </w:tc>
        <w:tc>
          <w:tcPr>
            <w:tcW w:w="1340" w:type="dxa"/>
            <w:vAlign w:val="bottom"/>
          </w:tcPr>
          <w:p>
            <w:pPr>
              <w:jc w:val="right"/>
              <w:ind w:right="110"/>
              <w:spacing w:after="0"/>
              <w:rPr>
                <w:sz w:val="20"/>
                <w:szCs w:val="20"/>
                <w:color w:val="auto"/>
              </w:rPr>
            </w:pPr>
            <w:r>
              <w:rPr>
                <w:rFonts w:ascii="Arial" w:cs="Arial" w:eastAsia="Arial" w:hAnsi="Arial"/>
                <w:sz w:val="14"/>
                <w:szCs w:val="14"/>
                <w:color w:val="auto"/>
              </w:rPr>
              <w:t>502,952</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82.93%</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3.08%</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66.81%</w:t>
            </w:r>
          </w:p>
        </w:tc>
        <w:tc>
          <w:tcPr>
            <w:tcW w:w="0" w:type="dxa"/>
            <w:vAlign w:val="bottom"/>
          </w:tcPr>
          <w:p>
            <w:pPr>
              <w:spacing w:after="0"/>
              <w:rPr>
                <w:sz w:val="1"/>
                <w:szCs w:val="1"/>
                <w:color w:val="auto"/>
              </w:rPr>
            </w:pPr>
          </w:p>
        </w:tc>
      </w:tr>
      <w:tr>
        <w:trPr>
          <w:trHeight w:val="237"/>
        </w:trPr>
        <w:tc>
          <w:tcPr>
            <w:tcW w:w="120" w:type="dxa"/>
            <w:vAlign w:val="bottom"/>
            <w:tcBorders>
              <w:bottom w:val="single" w:sz="8" w:color="E6E6E6"/>
            </w:tcBorders>
            <w:shd w:val="clear" w:color="auto" w:fill="E6E6E6"/>
          </w:tcPr>
          <w:p>
            <w:pPr>
              <w:spacing w:after="0"/>
              <w:rPr>
                <w:sz w:val="20"/>
                <w:szCs w:val="20"/>
                <w:color w:val="auto"/>
              </w:rPr>
            </w:pPr>
          </w:p>
        </w:tc>
        <w:tc>
          <w:tcPr>
            <w:tcW w:w="33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4"/>
                <w:szCs w:val="14"/>
                <w:b w:val="1"/>
                <w:bCs w:val="1"/>
                <w:color w:val="auto"/>
              </w:rPr>
              <w:t>Alan H. Howard</w:t>
            </w:r>
          </w:p>
        </w:tc>
        <w:tc>
          <w:tcPr>
            <w:tcW w:w="1740" w:type="dxa"/>
            <w:vAlign w:val="bottom"/>
            <w:tcBorders>
              <w:bottom w:val="single" w:sz="8" w:color="E6E6E6"/>
            </w:tcBorders>
            <w:shd w:val="clear" w:color="auto" w:fill="E6E6E6"/>
          </w:tcPr>
          <w:p>
            <w:pPr>
              <w:jc w:val="right"/>
              <w:ind w:right="3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E6E6E6"/>
            </w:tcBorders>
            <w:shd w:val="clear" w:color="auto" w:fill="E6E6E6"/>
          </w:tcPr>
          <w:p>
            <w:pPr>
              <w:jc w:val="right"/>
              <w:ind w:right="110"/>
              <w:spacing w:after="0"/>
              <w:rPr>
                <w:sz w:val="20"/>
                <w:szCs w:val="20"/>
                <w:color w:val="auto"/>
              </w:rPr>
            </w:pPr>
            <w:r>
              <w:rPr>
                <w:rFonts w:ascii="Arial" w:cs="Arial" w:eastAsia="Arial" w:hAnsi="Arial"/>
                <w:sz w:val="14"/>
                <w:szCs w:val="14"/>
                <w:color w:val="auto"/>
              </w:rPr>
              <w:t>78,273</w:t>
            </w:r>
          </w:p>
        </w:tc>
        <w:tc>
          <w:tcPr>
            <w:tcW w:w="760" w:type="dxa"/>
            <w:vAlign w:val="bottom"/>
            <w:tcBorders>
              <w:bottom w:val="single" w:sz="8" w:color="E6E6E6"/>
            </w:tcBorders>
            <w:shd w:val="clear" w:color="auto" w:fill="E6E6E6"/>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3360" w:type="dxa"/>
            <w:vAlign w:val="bottom"/>
          </w:tcPr>
          <w:p>
            <w:pPr>
              <w:ind w:left="40"/>
              <w:spacing w:after="0"/>
              <w:rPr>
                <w:sz w:val="20"/>
                <w:szCs w:val="20"/>
                <w:color w:val="auto"/>
              </w:rPr>
            </w:pPr>
            <w:r>
              <w:rPr>
                <w:rFonts w:ascii="Arial" w:cs="Arial" w:eastAsia="Arial" w:hAnsi="Arial"/>
                <w:sz w:val="14"/>
                <w:szCs w:val="14"/>
                <w:b w:val="1"/>
                <w:bCs w:val="1"/>
                <w:color w:val="auto"/>
              </w:rPr>
              <w:t>Richard Isserman</w:t>
            </w:r>
          </w:p>
        </w:tc>
        <w:tc>
          <w:tcPr>
            <w:tcW w:w="17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10"/>
              <w:spacing w:after="0"/>
              <w:rPr>
                <w:sz w:val="20"/>
                <w:szCs w:val="20"/>
                <w:color w:val="auto"/>
              </w:rPr>
            </w:pPr>
            <w:r>
              <w:rPr>
                <w:rFonts w:ascii="Arial" w:cs="Arial" w:eastAsia="Arial" w:hAnsi="Arial"/>
                <w:sz w:val="14"/>
                <w:szCs w:val="14"/>
                <w:color w:val="auto"/>
              </w:rPr>
              <w:t>29,241</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20" w:type="dxa"/>
            <w:vAlign w:val="bottom"/>
            <w:tcBorders>
              <w:bottom w:val="single" w:sz="8" w:color="E6E6E6"/>
            </w:tcBorders>
            <w:shd w:val="clear" w:color="auto" w:fill="E6E6E6"/>
          </w:tcPr>
          <w:p>
            <w:pPr>
              <w:spacing w:after="0"/>
              <w:rPr>
                <w:sz w:val="20"/>
                <w:szCs w:val="20"/>
                <w:color w:val="auto"/>
              </w:rPr>
            </w:pPr>
          </w:p>
        </w:tc>
        <w:tc>
          <w:tcPr>
            <w:tcW w:w="33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4"/>
                <w:szCs w:val="14"/>
                <w:b w:val="1"/>
                <w:bCs w:val="1"/>
                <w:color w:val="auto"/>
              </w:rPr>
              <w:t>Michelle Kennedy</w:t>
            </w:r>
          </w:p>
        </w:tc>
        <w:tc>
          <w:tcPr>
            <w:tcW w:w="1740" w:type="dxa"/>
            <w:vAlign w:val="bottom"/>
            <w:tcBorders>
              <w:bottom w:val="single" w:sz="8" w:color="E6E6E6"/>
            </w:tcBorders>
            <w:shd w:val="clear" w:color="auto" w:fill="E6E6E6"/>
          </w:tcPr>
          <w:p>
            <w:pPr>
              <w:jc w:val="right"/>
              <w:ind w:right="3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E6E6E6"/>
            </w:tcBorders>
            <w:shd w:val="clear" w:color="auto" w:fill="E6E6E6"/>
          </w:tcPr>
          <w:p>
            <w:pPr>
              <w:jc w:val="right"/>
              <w:ind w:right="110"/>
              <w:spacing w:after="0"/>
              <w:rPr>
                <w:sz w:val="20"/>
                <w:szCs w:val="20"/>
                <w:color w:val="auto"/>
              </w:rPr>
            </w:pPr>
            <w:r>
              <w:rPr>
                <w:rFonts w:ascii="Arial" w:cs="Arial" w:eastAsia="Arial" w:hAnsi="Arial"/>
                <w:sz w:val="14"/>
                <w:szCs w:val="14"/>
                <w:color w:val="auto"/>
              </w:rPr>
              <w:t>6,516</w:t>
            </w:r>
          </w:p>
        </w:tc>
        <w:tc>
          <w:tcPr>
            <w:tcW w:w="760" w:type="dxa"/>
            <w:vAlign w:val="bottom"/>
            <w:tcBorders>
              <w:bottom w:val="single" w:sz="8" w:color="E6E6E6"/>
            </w:tcBorders>
            <w:shd w:val="clear" w:color="auto" w:fill="E6E6E6"/>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3360" w:type="dxa"/>
            <w:vAlign w:val="bottom"/>
          </w:tcPr>
          <w:p>
            <w:pPr>
              <w:ind w:left="40"/>
              <w:spacing w:after="0"/>
              <w:rPr>
                <w:sz w:val="20"/>
                <w:szCs w:val="20"/>
                <w:color w:val="auto"/>
              </w:rPr>
            </w:pPr>
            <w:r>
              <w:rPr>
                <w:rFonts w:ascii="Arial" w:cs="Arial" w:eastAsia="Arial" w:hAnsi="Arial"/>
                <w:sz w:val="14"/>
                <w:szCs w:val="14"/>
                <w:b w:val="1"/>
                <w:bCs w:val="1"/>
                <w:color w:val="auto"/>
              </w:rPr>
              <w:t>Ann Kirschner</w:t>
            </w:r>
          </w:p>
        </w:tc>
        <w:tc>
          <w:tcPr>
            <w:tcW w:w="17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10"/>
              <w:spacing w:after="0"/>
              <w:rPr>
                <w:sz w:val="20"/>
                <w:szCs w:val="20"/>
                <w:color w:val="auto"/>
              </w:rPr>
            </w:pPr>
            <w:r>
              <w:rPr>
                <w:rFonts w:ascii="Arial" w:cs="Arial" w:eastAsia="Arial" w:hAnsi="Arial"/>
                <w:sz w:val="14"/>
                <w:szCs w:val="14"/>
                <w:color w:val="auto"/>
              </w:rPr>
              <w:t>27,046</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20" w:type="dxa"/>
            <w:vAlign w:val="bottom"/>
            <w:tcBorders>
              <w:bottom w:val="single" w:sz="8" w:color="E6E6E6"/>
            </w:tcBorders>
            <w:shd w:val="clear" w:color="auto" w:fill="E6E6E6"/>
          </w:tcPr>
          <w:p>
            <w:pPr>
              <w:spacing w:after="0"/>
              <w:rPr>
                <w:sz w:val="20"/>
                <w:szCs w:val="20"/>
                <w:color w:val="auto"/>
              </w:rPr>
            </w:pPr>
          </w:p>
        </w:tc>
        <w:tc>
          <w:tcPr>
            <w:tcW w:w="336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4"/>
                <w:szCs w:val="14"/>
                <w:b w:val="1"/>
                <w:bCs w:val="1"/>
                <w:color w:val="auto"/>
              </w:rPr>
              <w:t>Maya Peterson</w:t>
            </w:r>
          </w:p>
        </w:tc>
        <w:tc>
          <w:tcPr>
            <w:tcW w:w="1740" w:type="dxa"/>
            <w:vAlign w:val="bottom"/>
            <w:tcBorders>
              <w:bottom w:val="single" w:sz="8" w:color="E6E6E6"/>
            </w:tcBorders>
            <w:shd w:val="clear" w:color="auto" w:fill="E6E6E6"/>
          </w:tcPr>
          <w:p>
            <w:pPr>
              <w:jc w:val="right"/>
              <w:ind w:right="30"/>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E6E6E6"/>
            </w:tcBorders>
            <w:shd w:val="clear" w:color="auto" w:fill="E6E6E6"/>
          </w:tcPr>
          <w:p>
            <w:pPr>
              <w:jc w:val="right"/>
              <w:ind w:right="110"/>
              <w:spacing w:after="0"/>
              <w:rPr>
                <w:sz w:val="20"/>
                <w:szCs w:val="20"/>
                <w:color w:val="auto"/>
              </w:rPr>
            </w:pPr>
            <w:r>
              <w:rPr>
                <w:rFonts w:ascii="Arial" w:cs="Arial" w:eastAsia="Arial" w:hAnsi="Arial"/>
                <w:sz w:val="14"/>
                <w:szCs w:val="14"/>
                <w:color w:val="auto"/>
              </w:rPr>
              <w:t>21,435</w:t>
            </w:r>
          </w:p>
        </w:tc>
        <w:tc>
          <w:tcPr>
            <w:tcW w:w="760" w:type="dxa"/>
            <w:vAlign w:val="bottom"/>
            <w:tcBorders>
              <w:bottom w:val="single" w:sz="8" w:color="E6E6E6"/>
            </w:tcBorders>
            <w:shd w:val="clear" w:color="auto" w:fill="E6E6E6"/>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E6E6E6"/>
            </w:tcBorders>
            <w:shd w:val="clear" w:color="auto" w:fill="E6E6E6"/>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3360" w:type="dxa"/>
            <w:vAlign w:val="bottom"/>
          </w:tcPr>
          <w:p>
            <w:pPr>
              <w:ind w:left="40"/>
              <w:spacing w:after="0"/>
              <w:rPr>
                <w:sz w:val="20"/>
                <w:szCs w:val="20"/>
                <w:color w:val="auto"/>
              </w:rPr>
            </w:pPr>
            <w:r>
              <w:rPr>
                <w:rFonts w:ascii="Arial" w:cs="Arial" w:eastAsia="Arial" w:hAnsi="Arial"/>
                <w:sz w:val="14"/>
                <w:szCs w:val="14"/>
                <w:b w:val="1"/>
                <w:bCs w:val="1"/>
                <w:color w:val="auto"/>
              </w:rPr>
              <w:t>Stephen Sadove</w:t>
            </w:r>
          </w:p>
        </w:tc>
        <w:tc>
          <w:tcPr>
            <w:tcW w:w="17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10"/>
              <w:spacing w:after="0"/>
              <w:rPr>
                <w:sz w:val="20"/>
                <w:szCs w:val="20"/>
                <w:color w:val="auto"/>
              </w:rPr>
            </w:pPr>
            <w:r>
              <w:rPr>
                <w:rFonts w:ascii="Arial" w:cs="Arial" w:eastAsia="Arial" w:hAnsi="Arial"/>
                <w:sz w:val="14"/>
                <w:szCs w:val="14"/>
                <w:color w:val="auto"/>
              </w:rPr>
              <w:t>41,864</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
        </w:trPr>
        <w:tc>
          <w:tcPr>
            <w:tcW w:w="1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3"/>
        </w:trPr>
        <w:tc>
          <w:tcPr>
            <w:tcW w:w="120" w:type="dxa"/>
            <w:vAlign w:val="bottom"/>
            <w:shd w:val="clear" w:color="auto" w:fill="E6E6E6"/>
          </w:tcPr>
          <w:p>
            <w:pPr>
              <w:spacing w:after="0"/>
              <w:rPr>
                <w:sz w:val="24"/>
                <w:szCs w:val="24"/>
                <w:color w:val="auto"/>
              </w:rPr>
            </w:pPr>
          </w:p>
        </w:tc>
        <w:tc>
          <w:tcPr>
            <w:tcW w:w="3360" w:type="dxa"/>
            <w:vAlign w:val="bottom"/>
            <w:shd w:val="clear" w:color="auto" w:fill="E6E6E6"/>
          </w:tcPr>
          <w:p>
            <w:pPr>
              <w:ind w:left="40"/>
              <w:spacing w:after="0"/>
              <w:rPr>
                <w:sz w:val="20"/>
                <w:szCs w:val="20"/>
                <w:color w:val="auto"/>
              </w:rPr>
            </w:pPr>
            <w:r>
              <w:rPr>
                <w:rFonts w:ascii="Arial" w:cs="Arial" w:eastAsia="Arial" w:hAnsi="Arial"/>
                <w:sz w:val="14"/>
                <w:szCs w:val="14"/>
                <w:b w:val="1"/>
                <w:bCs w:val="1"/>
                <w:color w:val="auto"/>
              </w:rPr>
              <w:t>Behzad Soltani</w:t>
            </w:r>
            <w:r>
              <w:rPr>
                <w:rFonts w:ascii="Arial" w:cs="Arial" w:eastAsia="Arial" w:hAnsi="Arial"/>
                <w:sz w:val="23"/>
                <w:szCs w:val="23"/>
                <w:b w:val="1"/>
                <w:bCs w:val="1"/>
                <w:color w:val="auto"/>
                <w:vertAlign w:val="superscript"/>
              </w:rPr>
              <w:t>(9)</w:t>
            </w:r>
          </w:p>
        </w:tc>
        <w:tc>
          <w:tcPr>
            <w:tcW w:w="1740" w:type="dxa"/>
            <w:vAlign w:val="bottom"/>
            <w:shd w:val="clear" w:color="auto" w:fill="E6E6E6"/>
          </w:tcPr>
          <w:p>
            <w:pPr>
              <w:jc w:val="right"/>
              <w:ind w:right="30"/>
              <w:spacing w:after="0"/>
              <w:rPr>
                <w:sz w:val="20"/>
                <w:szCs w:val="20"/>
                <w:color w:val="auto"/>
              </w:rPr>
            </w:pPr>
            <w:r>
              <w:rPr>
                <w:rFonts w:ascii="Arial" w:cs="Arial" w:eastAsia="Arial" w:hAnsi="Arial"/>
                <w:sz w:val="14"/>
                <w:szCs w:val="14"/>
                <w:color w:val="auto"/>
              </w:rPr>
              <w:t>—</w:t>
            </w:r>
          </w:p>
        </w:tc>
        <w:tc>
          <w:tcPr>
            <w:tcW w:w="1340" w:type="dxa"/>
            <w:vAlign w:val="bottom"/>
            <w:shd w:val="clear" w:color="auto" w:fill="E6E6E6"/>
          </w:tcPr>
          <w:p>
            <w:pPr>
              <w:jc w:val="right"/>
              <w:ind w:right="110"/>
              <w:spacing w:after="0"/>
              <w:rPr>
                <w:sz w:val="20"/>
                <w:szCs w:val="20"/>
                <w:color w:val="auto"/>
              </w:rPr>
            </w:pPr>
            <w:r>
              <w:rPr>
                <w:rFonts w:ascii="Arial" w:cs="Arial" w:eastAsia="Arial" w:hAnsi="Arial"/>
                <w:sz w:val="14"/>
                <w:szCs w:val="14"/>
                <w:color w:val="auto"/>
              </w:rPr>
              <w:t>164,819</w:t>
            </w:r>
          </w:p>
        </w:tc>
        <w:tc>
          <w:tcPr>
            <w:tcW w:w="760" w:type="dxa"/>
            <w:vAlign w:val="bottom"/>
            <w:shd w:val="clear" w:color="auto" w:fill="E6E6E6"/>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shd w:val="clear" w:color="auto" w:fill="E6E6E6"/>
          </w:tcPr>
          <w:p>
            <w:pPr>
              <w:jc w:val="right"/>
              <w:ind w:right="49"/>
              <w:spacing w:after="0"/>
              <w:rPr>
                <w:sz w:val="20"/>
                <w:szCs w:val="20"/>
                <w:color w:val="auto"/>
              </w:rPr>
            </w:pPr>
            <w:r>
              <w:rPr>
                <w:rFonts w:ascii="Arial" w:cs="Arial" w:eastAsia="Arial" w:hAnsi="Arial"/>
                <w:sz w:val="14"/>
                <w:szCs w:val="14"/>
                <w:color w:val="auto"/>
              </w:rPr>
              <w:t>1.01%</w:t>
            </w:r>
          </w:p>
        </w:tc>
        <w:tc>
          <w:tcPr>
            <w:tcW w:w="1200" w:type="dxa"/>
            <w:vAlign w:val="bottom"/>
            <w:gridSpan w:val="2"/>
            <w:shd w:val="clear" w:color="auto" w:fill="E6E6E6"/>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84"/>
        </w:trPr>
        <w:tc>
          <w:tcPr>
            <w:tcW w:w="120" w:type="dxa"/>
            <w:vAlign w:val="bottom"/>
          </w:tcPr>
          <w:p>
            <w:pPr>
              <w:spacing w:after="0"/>
              <w:rPr>
                <w:sz w:val="24"/>
                <w:szCs w:val="24"/>
                <w:color w:val="auto"/>
              </w:rPr>
            </w:pPr>
          </w:p>
        </w:tc>
        <w:tc>
          <w:tcPr>
            <w:tcW w:w="3360" w:type="dxa"/>
            <w:vAlign w:val="bottom"/>
          </w:tcPr>
          <w:p>
            <w:pPr>
              <w:ind w:left="40"/>
              <w:spacing w:after="0"/>
              <w:rPr>
                <w:sz w:val="20"/>
                <w:szCs w:val="20"/>
                <w:color w:val="auto"/>
              </w:rPr>
            </w:pPr>
            <w:r>
              <w:rPr>
                <w:rFonts w:ascii="Arial" w:cs="Arial" w:eastAsia="Arial" w:hAnsi="Arial"/>
                <w:sz w:val="14"/>
                <w:szCs w:val="14"/>
                <w:b w:val="1"/>
                <w:bCs w:val="1"/>
                <w:color w:val="auto"/>
              </w:rPr>
              <w:t>Mitchell C. Sussis</w:t>
            </w:r>
            <w:r>
              <w:rPr>
                <w:rFonts w:ascii="Arial" w:cs="Arial" w:eastAsia="Arial" w:hAnsi="Arial"/>
                <w:sz w:val="23"/>
                <w:szCs w:val="23"/>
                <w:b w:val="1"/>
                <w:bCs w:val="1"/>
                <w:color w:val="auto"/>
                <w:vertAlign w:val="superscript"/>
              </w:rPr>
              <w:t>(10)</w:t>
            </w:r>
          </w:p>
        </w:tc>
        <w:tc>
          <w:tcPr>
            <w:tcW w:w="17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110"/>
              <w:spacing w:after="0"/>
              <w:rPr>
                <w:sz w:val="20"/>
                <w:szCs w:val="20"/>
                <w:color w:val="auto"/>
              </w:rPr>
            </w:pPr>
            <w:r>
              <w:rPr>
                <w:rFonts w:ascii="Arial" w:cs="Arial" w:eastAsia="Arial" w:hAnsi="Arial"/>
                <w:sz w:val="14"/>
                <w:szCs w:val="14"/>
                <w:color w:val="auto"/>
              </w:rPr>
              <w:t>42,859</w:t>
            </w:r>
          </w:p>
        </w:tc>
        <w:tc>
          <w:tcPr>
            <w:tcW w:w="76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120" w:type="dxa"/>
            <w:vAlign w:val="bottom"/>
            <w:shd w:val="clear" w:color="auto" w:fill="E6E6E6"/>
          </w:tcPr>
          <w:p>
            <w:pPr>
              <w:spacing w:after="0"/>
              <w:rPr>
                <w:sz w:val="16"/>
                <w:szCs w:val="16"/>
                <w:color w:val="auto"/>
              </w:rPr>
            </w:pPr>
          </w:p>
        </w:tc>
        <w:tc>
          <w:tcPr>
            <w:tcW w:w="3360" w:type="dxa"/>
            <w:vAlign w:val="bottom"/>
            <w:shd w:val="clear" w:color="auto" w:fill="E6E6E6"/>
          </w:tcPr>
          <w:p>
            <w:pPr>
              <w:ind w:left="40"/>
              <w:spacing w:after="0"/>
              <w:rPr>
                <w:sz w:val="20"/>
                <w:szCs w:val="20"/>
                <w:color w:val="auto"/>
              </w:rPr>
            </w:pPr>
            <w:r>
              <w:rPr>
                <w:rFonts w:ascii="Arial" w:cs="Arial" w:eastAsia="Arial" w:hAnsi="Arial"/>
                <w:sz w:val="14"/>
                <w:szCs w:val="14"/>
                <w:b w:val="1"/>
                <w:bCs w:val="1"/>
                <w:color w:val="auto"/>
              </w:rPr>
              <w:t>All executive officers, directors and director</w:t>
            </w:r>
          </w:p>
        </w:tc>
        <w:tc>
          <w:tcPr>
            <w:tcW w:w="1740" w:type="dxa"/>
            <w:vAlign w:val="bottom"/>
            <w:vMerge w:val="restart"/>
            <w:shd w:val="clear" w:color="auto" w:fill="E6E6E6"/>
          </w:tcPr>
          <w:p>
            <w:pPr>
              <w:jc w:val="right"/>
              <w:ind w:right="30"/>
              <w:spacing w:after="0"/>
              <w:rPr>
                <w:sz w:val="20"/>
                <w:szCs w:val="20"/>
                <w:color w:val="auto"/>
              </w:rPr>
            </w:pPr>
            <w:r>
              <w:rPr>
                <w:rFonts w:ascii="Arial" w:cs="Arial" w:eastAsia="Arial" w:hAnsi="Arial"/>
                <w:sz w:val="14"/>
                <w:szCs w:val="14"/>
                <w:color w:val="auto"/>
              </w:rPr>
              <w:t>5,655,655</w:t>
            </w:r>
          </w:p>
        </w:tc>
        <w:tc>
          <w:tcPr>
            <w:tcW w:w="1340" w:type="dxa"/>
            <w:vAlign w:val="bottom"/>
            <w:vMerge w:val="restart"/>
            <w:shd w:val="clear" w:color="auto" w:fill="E6E6E6"/>
          </w:tcPr>
          <w:p>
            <w:pPr>
              <w:jc w:val="right"/>
              <w:ind w:right="110"/>
              <w:spacing w:after="0"/>
              <w:rPr>
                <w:sz w:val="20"/>
                <w:szCs w:val="20"/>
                <w:color w:val="auto"/>
              </w:rPr>
            </w:pPr>
            <w:r>
              <w:rPr>
                <w:rFonts w:ascii="Arial" w:cs="Arial" w:eastAsia="Arial" w:hAnsi="Arial"/>
                <w:sz w:val="14"/>
                <w:szCs w:val="14"/>
                <w:color w:val="auto"/>
              </w:rPr>
              <w:t>1,187,285</w:t>
            </w:r>
          </w:p>
        </w:tc>
        <w:tc>
          <w:tcPr>
            <w:tcW w:w="760" w:type="dxa"/>
            <w:vAlign w:val="bottom"/>
            <w:vMerge w:val="restart"/>
            <w:shd w:val="clear" w:color="auto" w:fill="E6E6E6"/>
          </w:tcPr>
          <w:p>
            <w:pPr>
              <w:jc w:val="right"/>
              <w:ind w:right="30"/>
              <w:spacing w:after="0"/>
              <w:rPr>
                <w:sz w:val="20"/>
                <w:szCs w:val="20"/>
                <w:color w:val="auto"/>
              </w:rPr>
            </w:pPr>
            <w:r>
              <w:rPr>
                <w:rFonts w:ascii="Arial" w:cs="Arial" w:eastAsia="Arial" w:hAnsi="Arial"/>
                <w:sz w:val="14"/>
                <w:szCs w:val="14"/>
                <w:color w:val="auto"/>
              </w:rPr>
              <w:t>87.61%</w:t>
            </w:r>
          </w:p>
        </w:tc>
        <w:tc>
          <w:tcPr>
            <w:tcW w:w="880" w:type="dxa"/>
            <w:vAlign w:val="bottom"/>
            <w:vMerge w:val="restart"/>
            <w:shd w:val="clear" w:color="auto" w:fill="E6E6E6"/>
          </w:tcPr>
          <w:p>
            <w:pPr>
              <w:jc w:val="right"/>
              <w:ind w:right="49"/>
              <w:spacing w:after="0"/>
              <w:rPr>
                <w:sz w:val="20"/>
                <w:szCs w:val="20"/>
                <w:color w:val="auto"/>
              </w:rPr>
            </w:pPr>
            <w:r>
              <w:rPr>
                <w:rFonts w:ascii="Arial" w:cs="Arial" w:eastAsia="Arial" w:hAnsi="Arial"/>
                <w:sz w:val="14"/>
                <w:szCs w:val="14"/>
                <w:color w:val="auto"/>
              </w:rPr>
              <w:t>7.27%</w:t>
            </w:r>
          </w:p>
        </w:tc>
        <w:tc>
          <w:tcPr>
            <w:tcW w:w="1200" w:type="dxa"/>
            <w:vAlign w:val="bottom"/>
            <w:gridSpan w:val="2"/>
            <w:vMerge w:val="restart"/>
            <w:shd w:val="clear" w:color="auto" w:fill="E6E6E6"/>
          </w:tcPr>
          <w:p>
            <w:pPr>
              <w:jc w:val="right"/>
              <w:ind w:right="120"/>
              <w:spacing w:after="0"/>
              <w:rPr>
                <w:sz w:val="20"/>
                <w:szCs w:val="20"/>
                <w:color w:val="auto"/>
              </w:rPr>
            </w:pPr>
            <w:r>
              <w:rPr>
                <w:rFonts w:ascii="Arial" w:cs="Arial" w:eastAsia="Arial" w:hAnsi="Arial"/>
                <w:sz w:val="14"/>
                <w:szCs w:val="14"/>
                <w:color w:val="auto"/>
              </w:rPr>
              <w:t>71.39%</w:t>
            </w:r>
          </w:p>
        </w:tc>
        <w:tc>
          <w:tcPr>
            <w:tcW w:w="0" w:type="dxa"/>
            <w:vAlign w:val="bottom"/>
          </w:tcPr>
          <w:p>
            <w:pPr>
              <w:spacing w:after="0"/>
              <w:rPr>
                <w:sz w:val="1"/>
                <w:szCs w:val="1"/>
                <w:color w:val="auto"/>
              </w:rPr>
            </w:pPr>
          </w:p>
        </w:tc>
      </w:tr>
      <w:tr>
        <w:trPr>
          <w:trHeight w:val="126"/>
        </w:trPr>
        <w:tc>
          <w:tcPr>
            <w:tcW w:w="120" w:type="dxa"/>
            <w:vAlign w:val="bottom"/>
            <w:shd w:val="clear" w:color="auto" w:fill="E6E6E6"/>
          </w:tcPr>
          <w:p>
            <w:pPr>
              <w:spacing w:after="0"/>
              <w:rPr>
                <w:sz w:val="10"/>
                <w:szCs w:val="10"/>
                <w:color w:val="auto"/>
              </w:rPr>
            </w:pPr>
          </w:p>
        </w:tc>
        <w:tc>
          <w:tcPr>
            <w:tcW w:w="3360" w:type="dxa"/>
            <w:vAlign w:val="bottom"/>
            <w:vMerge w:val="restart"/>
            <w:shd w:val="clear" w:color="auto" w:fill="E6E6E6"/>
          </w:tcPr>
          <w:p>
            <w:pPr>
              <w:ind w:left="40"/>
              <w:spacing w:after="0" w:line="201" w:lineRule="exact"/>
              <w:rPr>
                <w:sz w:val="20"/>
                <w:szCs w:val="20"/>
                <w:color w:val="auto"/>
              </w:rPr>
            </w:pPr>
            <w:r>
              <w:rPr>
                <w:rFonts w:ascii="Arial" w:cs="Arial" w:eastAsia="Arial" w:hAnsi="Arial"/>
                <w:sz w:val="14"/>
                <w:szCs w:val="14"/>
                <w:b w:val="1"/>
                <w:bCs w:val="1"/>
                <w:color w:val="auto"/>
              </w:rPr>
              <w:t>nominees as a group (12 persons)</w:t>
            </w:r>
            <w:r>
              <w:rPr>
                <w:rFonts w:ascii="Arial" w:cs="Arial" w:eastAsia="Arial" w:hAnsi="Arial"/>
                <w:sz w:val="23"/>
                <w:szCs w:val="23"/>
                <w:b w:val="1"/>
                <w:bCs w:val="1"/>
                <w:color w:val="auto"/>
                <w:vertAlign w:val="superscript"/>
              </w:rPr>
              <w:t>(11)</w:t>
            </w:r>
          </w:p>
        </w:tc>
        <w:tc>
          <w:tcPr>
            <w:tcW w:w="1740" w:type="dxa"/>
            <w:vAlign w:val="bottom"/>
            <w:vMerge w:val="continue"/>
            <w:shd w:val="clear" w:color="auto" w:fill="E6E6E6"/>
          </w:tcPr>
          <w:p>
            <w:pPr>
              <w:spacing w:after="0"/>
              <w:rPr>
                <w:sz w:val="10"/>
                <w:szCs w:val="10"/>
                <w:color w:val="auto"/>
              </w:rPr>
            </w:pPr>
          </w:p>
        </w:tc>
        <w:tc>
          <w:tcPr>
            <w:tcW w:w="1340" w:type="dxa"/>
            <w:vAlign w:val="bottom"/>
            <w:vMerge w:val="continue"/>
            <w:shd w:val="clear" w:color="auto" w:fill="E6E6E6"/>
          </w:tcPr>
          <w:p>
            <w:pPr>
              <w:spacing w:after="0"/>
              <w:rPr>
                <w:sz w:val="10"/>
                <w:szCs w:val="10"/>
                <w:color w:val="auto"/>
              </w:rPr>
            </w:pPr>
          </w:p>
        </w:tc>
        <w:tc>
          <w:tcPr>
            <w:tcW w:w="760" w:type="dxa"/>
            <w:vAlign w:val="bottom"/>
            <w:vMerge w:val="continue"/>
            <w:shd w:val="clear" w:color="auto" w:fill="E6E6E6"/>
          </w:tcPr>
          <w:p>
            <w:pPr>
              <w:spacing w:after="0"/>
              <w:rPr>
                <w:sz w:val="10"/>
                <w:szCs w:val="10"/>
                <w:color w:val="auto"/>
              </w:rPr>
            </w:pPr>
          </w:p>
        </w:tc>
        <w:tc>
          <w:tcPr>
            <w:tcW w:w="880" w:type="dxa"/>
            <w:vAlign w:val="bottom"/>
            <w:vMerge w:val="continue"/>
            <w:shd w:val="clear" w:color="auto" w:fill="E6E6E6"/>
          </w:tcPr>
          <w:p>
            <w:pPr>
              <w:spacing w:after="0"/>
              <w:rPr>
                <w:sz w:val="10"/>
                <w:szCs w:val="10"/>
                <w:color w:val="auto"/>
              </w:rPr>
            </w:pPr>
          </w:p>
        </w:tc>
        <w:tc>
          <w:tcPr>
            <w:tcW w:w="1200" w:type="dxa"/>
            <w:vAlign w:val="bottom"/>
            <w:gridSpan w:val="2"/>
            <w:vMerge w:val="continue"/>
            <w:shd w:val="clear" w:color="auto" w:fill="E6E6E6"/>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20" w:type="dxa"/>
            <w:vAlign w:val="bottom"/>
            <w:tcBorders>
              <w:bottom w:val="single" w:sz="8" w:color="E6E6E6"/>
            </w:tcBorders>
            <w:shd w:val="clear" w:color="auto" w:fill="E6E6E6"/>
          </w:tcPr>
          <w:p>
            <w:pPr>
              <w:spacing w:after="0"/>
              <w:rPr>
                <w:sz w:val="9"/>
                <w:szCs w:val="9"/>
                <w:color w:val="auto"/>
              </w:rPr>
            </w:pPr>
          </w:p>
        </w:tc>
        <w:tc>
          <w:tcPr>
            <w:tcW w:w="3360" w:type="dxa"/>
            <w:vAlign w:val="bottom"/>
            <w:tcBorders>
              <w:bottom w:val="single" w:sz="8" w:color="E6E6E6"/>
            </w:tcBorders>
            <w:vMerge w:val="continue"/>
            <w:shd w:val="clear" w:color="auto" w:fill="E6E6E6"/>
          </w:tcPr>
          <w:p>
            <w:pPr>
              <w:spacing w:after="0"/>
              <w:rPr>
                <w:sz w:val="9"/>
                <w:szCs w:val="9"/>
                <w:color w:val="auto"/>
              </w:rPr>
            </w:pPr>
          </w:p>
        </w:tc>
        <w:tc>
          <w:tcPr>
            <w:tcW w:w="1740" w:type="dxa"/>
            <w:vAlign w:val="bottom"/>
            <w:tcBorders>
              <w:bottom w:val="single" w:sz="8" w:color="E6E6E6"/>
            </w:tcBorders>
            <w:shd w:val="clear" w:color="auto" w:fill="E6E6E6"/>
          </w:tcPr>
          <w:p>
            <w:pPr>
              <w:spacing w:after="0"/>
              <w:rPr>
                <w:sz w:val="9"/>
                <w:szCs w:val="9"/>
                <w:color w:val="auto"/>
              </w:rPr>
            </w:pPr>
          </w:p>
        </w:tc>
        <w:tc>
          <w:tcPr>
            <w:tcW w:w="1340" w:type="dxa"/>
            <w:vAlign w:val="bottom"/>
            <w:tcBorders>
              <w:bottom w:val="single" w:sz="8" w:color="E6E6E6"/>
            </w:tcBorders>
            <w:shd w:val="clear" w:color="auto" w:fill="E6E6E6"/>
          </w:tcPr>
          <w:p>
            <w:pPr>
              <w:spacing w:after="0"/>
              <w:rPr>
                <w:sz w:val="9"/>
                <w:szCs w:val="9"/>
                <w:color w:val="auto"/>
              </w:rPr>
            </w:pPr>
          </w:p>
        </w:tc>
        <w:tc>
          <w:tcPr>
            <w:tcW w:w="760" w:type="dxa"/>
            <w:vAlign w:val="bottom"/>
            <w:tcBorders>
              <w:bottom w:val="single" w:sz="8" w:color="E6E6E6"/>
            </w:tcBorders>
            <w:shd w:val="clear" w:color="auto" w:fill="E6E6E6"/>
          </w:tcPr>
          <w:p>
            <w:pPr>
              <w:spacing w:after="0"/>
              <w:rPr>
                <w:sz w:val="9"/>
                <w:szCs w:val="9"/>
                <w:color w:val="auto"/>
              </w:rPr>
            </w:pPr>
          </w:p>
        </w:tc>
        <w:tc>
          <w:tcPr>
            <w:tcW w:w="880" w:type="dxa"/>
            <w:vAlign w:val="bottom"/>
            <w:tcBorders>
              <w:bottom w:val="single" w:sz="8" w:color="E6E6E6"/>
            </w:tcBorders>
            <w:shd w:val="clear" w:color="auto" w:fill="E6E6E6"/>
          </w:tcPr>
          <w:p>
            <w:pPr>
              <w:spacing w:after="0"/>
              <w:rPr>
                <w:sz w:val="9"/>
                <w:szCs w:val="9"/>
                <w:color w:val="auto"/>
              </w:rPr>
            </w:pPr>
          </w:p>
        </w:tc>
        <w:tc>
          <w:tcPr>
            <w:tcW w:w="1080" w:type="dxa"/>
            <w:vAlign w:val="bottom"/>
            <w:tcBorders>
              <w:bottom w:val="single" w:sz="8" w:color="E6E6E6"/>
            </w:tcBorders>
            <w:shd w:val="clear" w:color="auto" w:fill="E6E6E6"/>
          </w:tcPr>
          <w:p>
            <w:pPr>
              <w:spacing w:after="0"/>
              <w:rPr>
                <w:sz w:val="9"/>
                <w:szCs w:val="9"/>
                <w:color w:val="auto"/>
              </w:rPr>
            </w:pPr>
          </w:p>
        </w:tc>
        <w:tc>
          <w:tcPr>
            <w:tcW w:w="120" w:type="dxa"/>
            <w:vAlign w:val="bottom"/>
            <w:tcBorders>
              <w:bottom w:val="single" w:sz="8" w:color="E6E6E6"/>
            </w:tcBorders>
            <w:shd w:val="clear" w:color="auto" w:fill="E6E6E6"/>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D9BA05"/>
          </w:tcPr>
          <w:p>
            <w:pPr>
              <w:spacing w:after="0" w:line="20" w:lineRule="exact"/>
              <w:rPr>
                <w:sz w:val="1"/>
                <w:szCs w:val="1"/>
                <w:color w:val="auto"/>
              </w:rPr>
            </w:pPr>
          </w:p>
        </w:tc>
        <w:tc>
          <w:tcPr>
            <w:tcW w:w="3360" w:type="dxa"/>
            <w:vAlign w:val="bottom"/>
            <w:shd w:val="clear" w:color="auto" w:fill="D9BA05"/>
          </w:tcPr>
          <w:p>
            <w:pPr>
              <w:spacing w:after="0" w:line="20" w:lineRule="exact"/>
              <w:rPr>
                <w:sz w:val="1"/>
                <w:szCs w:val="1"/>
                <w:color w:val="auto"/>
              </w:rPr>
            </w:pPr>
          </w:p>
        </w:tc>
        <w:tc>
          <w:tcPr>
            <w:tcW w:w="1740" w:type="dxa"/>
            <w:vAlign w:val="bottom"/>
            <w:shd w:val="clear" w:color="auto" w:fill="D9BA05"/>
          </w:tcPr>
          <w:p>
            <w:pPr>
              <w:spacing w:after="0" w:line="20" w:lineRule="exact"/>
              <w:rPr>
                <w:sz w:val="1"/>
                <w:szCs w:val="1"/>
                <w:color w:val="auto"/>
              </w:rPr>
            </w:pPr>
          </w:p>
        </w:tc>
        <w:tc>
          <w:tcPr>
            <w:tcW w:w="1340" w:type="dxa"/>
            <w:vAlign w:val="bottom"/>
            <w:shd w:val="clear" w:color="auto" w:fill="D9BA05"/>
          </w:tcPr>
          <w:p>
            <w:pPr>
              <w:spacing w:after="0" w:line="20" w:lineRule="exact"/>
              <w:rPr>
                <w:sz w:val="1"/>
                <w:szCs w:val="1"/>
                <w:color w:val="auto"/>
              </w:rPr>
            </w:pPr>
          </w:p>
        </w:tc>
        <w:tc>
          <w:tcPr>
            <w:tcW w:w="760" w:type="dxa"/>
            <w:vAlign w:val="bottom"/>
            <w:shd w:val="clear" w:color="auto" w:fill="D9BA05"/>
          </w:tcPr>
          <w:p>
            <w:pPr>
              <w:spacing w:after="0" w:line="20" w:lineRule="exact"/>
              <w:rPr>
                <w:sz w:val="1"/>
                <w:szCs w:val="1"/>
                <w:color w:val="auto"/>
              </w:rPr>
            </w:pPr>
          </w:p>
        </w:tc>
        <w:tc>
          <w:tcPr>
            <w:tcW w:w="880" w:type="dxa"/>
            <w:vAlign w:val="bottom"/>
            <w:shd w:val="clear" w:color="auto" w:fill="D9BA05"/>
          </w:tcPr>
          <w:p>
            <w:pPr>
              <w:spacing w:after="0" w:line="20" w:lineRule="exact"/>
              <w:rPr>
                <w:sz w:val="1"/>
                <w:szCs w:val="1"/>
                <w:color w:val="auto"/>
              </w:rPr>
            </w:pPr>
          </w:p>
        </w:tc>
        <w:tc>
          <w:tcPr>
            <w:tcW w:w="1080" w:type="dxa"/>
            <w:vAlign w:val="bottom"/>
            <w:shd w:val="clear" w:color="auto" w:fill="D9BA05"/>
          </w:tcPr>
          <w:p>
            <w:pPr>
              <w:spacing w:after="0" w:line="20" w:lineRule="exact"/>
              <w:rPr>
                <w:sz w:val="1"/>
                <w:szCs w:val="1"/>
                <w:color w:val="auto"/>
              </w:rPr>
            </w:pPr>
          </w:p>
        </w:tc>
        <w:tc>
          <w:tcPr>
            <w:tcW w:w="120" w:type="dxa"/>
            <w:vAlign w:val="bottom"/>
            <w:shd w:val="clear" w:color="auto" w:fill="D9BA0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40" w:hanging="334"/>
        <w:spacing w:after="0"/>
        <w:tabs>
          <w:tab w:leader="none" w:pos="340" w:val="left"/>
        </w:tabs>
        <w:numPr>
          <w:ilvl w:val="0"/>
          <w:numId w:val="8"/>
        </w:numPr>
        <w:rPr>
          <w:rFonts w:ascii="Arial" w:cs="Arial" w:eastAsia="Arial" w:hAnsi="Arial"/>
          <w:sz w:val="13"/>
          <w:szCs w:val="13"/>
          <w:color w:val="333333"/>
        </w:rPr>
      </w:pPr>
      <w:r>
        <w:rPr>
          <w:rFonts w:ascii="Arial" w:cs="Arial" w:eastAsia="Arial" w:hAnsi="Arial"/>
          <w:sz w:val="13"/>
          <w:szCs w:val="13"/>
          <w:color w:val="333333"/>
        </w:rPr>
        <w:t>Denotes less than one percent</w:t>
      </w:r>
    </w:p>
    <w:p>
      <w:pPr>
        <w:spacing w:after="0" w:line="80" w:lineRule="exact"/>
        <w:rPr>
          <w:sz w:val="20"/>
          <w:szCs w:val="20"/>
          <w:color w:val="auto"/>
        </w:rPr>
      </w:pPr>
    </w:p>
    <w:p>
      <w:pPr>
        <w:ind w:right="480"/>
        <w:spacing w:after="0" w:line="243" w:lineRule="auto"/>
        <w:rPr>
          <w:sz w:val="20"/>
          <w:szCs w:val="20"/>
          <w:color w:val="auto"/>
        </w:rPr>
      </w:pPr>
      <w:r>
        <w:rPr>
          <w:rFonts w:ascii="Arial" w:cs="Arial" w:eastAsia="Arial" w:hAnsi="Arial"/>
          <w:sz w:val="13"/>
          <w:szCs w:val="13"/>
          <w:color w:val="333333"/>
        </w:rPr>
        <w:t>The address for Messrs. Bridgman, A. Grinberg, E. Grinberg, Howard, Isserman, Sadove, Soltani, and Sussis and for Mses. DeMarsilis, Kennedy, Kirschner and Peterson is c/o Movado Group, Inc., 650 From Road, Ste. 375, Paramus, New Jersey 07652-3556.</w:t>
      </w:r>
    </w:p>
    <w:p>
      <w:pPr>
        <w:spacing w:after="0" w:line="62" w:lineRule="exact"/>
        <w:rPr>
          <w:sz w:val="20"/>
          <w:szCs w:val="20"/>
          <w:color w:val="auto"/>
        </w:rPr>
      </w:pPr>
    </w:p>
    <w:p>
      <w:pPr>
        <w:ind w:left="340" w:right="20" w:hanging="334"/>
        <w:spacing w:after="0" w:line="223" w:lineRule="auto"/>
        <w:tabs>
          <w:tab w:leader="none" w:pos="340" w:val="left"/>
        </w:tabs>
        <w:numPr>
          <w:ilvl w:val="0"/>
          <w:numId w:val="9"/>
        </w:numPr>
        <w:rPr>
          <w:rFonts w:ascii="Arial" w:cs="Arial" w:eastAsia="Arial" w:hAnsi="Arial"/>
          <w:sz w:val="13"/>
          <w:szCs w:val="13"/>
          <w:color w:val="333333"/>
        </w:rPr>
      </w:pPr>
      <w:r>
        <w:rPr>
          <w:rFonts w:ascii="Arial" w:cs="Arial" w:eastAsia="Arial" w:hAnsi="Arial"/>
          <w:sz w:val="13"/>
          <w:szCs w:val="13"/>
          <w:color w:val="333333"/>
        </w:rPr>
        <w:t>Although each share of Class A Common Stock is convertible at any time into one share of Common Stock, the shares of Common Stock shown as beneficially owned by each of the persons or groups listed in the table above do not include the shares of Common Stock deemed to be beneficially owned by such persons or groups as a result of beneficial ownership of shares of Class A Common Stock, which shares are shown in a separate column. The percentage of outstanding shares of Common Stock shown as beneficially owned by each of the persons or groups in the table above is shown on the same basis. In calculating the percent of total voting power held by each person or group, the voting power of shares of Common Stock (one vote per share) and Class A Common Stock (10 votes per share) has been aggregated. Except as otherwise indicated, the persons listed have advised the Company that they have sole voting power and sole dispositive power with respect to the shares of Class A Common Stock and of Common Stock indicated as owned by them.</w:t>
      </w:r>
    </w:p>
    <w:p>
      <w:pPr>
        <w:spacing w:after="0" w:line="53" w:lineRule="exact"/>
        <w:rPr>
          <w:rFonts w:ascii="Arial" w:cs="Arial" w:eastAsia="Arial" w:hAnsi="Arial"/>
          <w:sz w:val="13"/>
          <w:szCs w:val="13"/>
          <w:color w:val="333333"/>
        </w:rPr>
      </w:pPr>
    </w:p>
    <w:p>
      <w:pPr>
        <w:ind w:left="340" w:right="20" w:hanging="334"/>
        <w:spacing w:after="0" w:line="225" w:lineRule="auto"/>
        <w:tabs>
          <w:tab w:leader="none" w:pos="340" w:val="left"/>
        </w:tabs>
        <w:numPr>
          <w:ilvl w:val="0"/>
          <w:numId w:val="9"/>
        </w:numPr>
        <w:rPr>
          <w:rFonts w:ascii="Arial" w:cs="Arial" w:eastAsia="Arial" w:hAnsi="Arial"/>
          <w:sz w:val="13"/>
          <w:szCs w:val="13"/>
          <w:color w:val="333333"/>
        </w:rPr>
      </w:pPr>
      <w:r>
        <w:rPr>
          <w:rFonts w:ascii="Arial" w:cs="Arial" w:eastAsia="Arial" w:hAnsi="Arial"/>
          <w:sz w:val="13"/>
          <w:szCs w:val="13"/>
          <w:color w:val="333333"/>
        </w:rPr>
        <w:t>On April 17, 2025, in a filing on Schedule 13G under the Exchange Act, BlackRock Inc. reported beneficial ownership as of March 31, 2025, of 1,123,289 shares of Common Stock. It reported having sole voting power as to 1,100,867 of such shares, shared voting power as to none of such shares, and sole dispositive power as to all of such shares. It also reported that all of the shares of Common Stock that it beneficially owns were acquired in the ordinary course of business and not for the purpose or with the effect of changing or influencing control of the Company, or in connection with any transaction having such purpose or effect. The address of BlackRock Inc. is 50 Hudson Yards, New York, NY 10001. This Schedule 13G filing is BlackRock Inc.’s most recent filing in respect of the Company as of the date of this proxy statement.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Movado Group, Inc.        5</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40" w:right="100" w:hanging="334"/>
        <w:spacing w:after="0" w:line="229" w:lineRule="auto"/>
        <w:tabs>
          <w:tab w:leader="none" w:pos="340" w:val="left"/>
        </w:tabs>
        <w:numPr>
          <w:ilvl w:val="0"/>
          <w:numId w:val="10"/>
        </w:numPr>
        <w:rPr>
          <w:rFonts w:ascii="Arial" w:cs="Arial" w:eastAsia="Arial" w:hAnsi="Arial"/>
          <w:sz w:val="13"/>
          <w:szCs w:val="13"/>
          <w:color w:val="333333"/>
        </w:rPr>
      </w:pPr>
      <w:r>
        <w:rPr>
          <w:rFonts w:ascii="Arial" w:cs="Arial" w:eastAsia="Arial" w:hAnsi="Arial"/>
          <w:sz w:val="13"/>
          <w:szCs w:val="13"/>
          <w:color w:val="333333"/>
        </w:rPr>
        <w:t>On January 20, 2026, in a filing on Schedule 13G under the Exchange Act, Royce &amp; Associates, LP (“R&amp;A”) reported beneficial ownership as of December 31, 2025, of 1,052,461 shares of Common Stock, as to all of which it has sole dispositive power and sole voting power. R&amp;A reported that all of such shares were acquired in the ordinary course of business and not for the purpose or with the effect of changing or influencing control of the Company, or in connection with any transaction having such purpose or effect. R&amp;A’s address is One Madison Avenue, New York, NY 10010.</w:t>
      </w:r>
    </w:p>
    <w:p>
      <w:pPr>
        <w:spacing w:after="0" w:line="50" w:lineRule="exact"/>
        <w:rPr>
          <w:rFonts w:ascii="Arial" w:cs="Arial" w:eastAsia="Arial" w:hAnsi="Arial"/>
          <w:sz w:val="13"/>
          <w:szCs w:val="13"/>
          <w:color w:val="333333"/>
        </w:rPr>
      </w:pPr>
    </w:p>
    <w:p>
      <w:pPr>
        <w:ind w:left="340" w:right="300" w:hanging="334"/>
        <w:spacing w:after="0" w:line="226" w:lineRule="auto"/>
        <w:tabs>
          <w:tab w:leader="none" w:pos="340" w:val="left"/>
        </w:tabs>
        <w:numPr>
          <w:ilvl w:val="0"/>
          <w:numId w:val="10"/>
        </w:numPr>
        <w:rPr>
          <w:rFonts w:ascii="Arial" w:cs="Arial" w:eastAsia="Arial" w:hAnsi="Arial"/>
          <w:sz w:val="13"/>
          <w:szCs w:val="13"/>
          <w:color w:val="333333"/>
        </w:rPr>
      </w:pPr>
      <w:r>
        <w:rPr>
          <w:rFonts w:ascii="Arial" w:cs="Arial" w:eastAsia="Arial" w:hAnsi="Arial"/>
          <w:sz w:val="13"/>
          <w:szCs w:val="13"/>
          <w:color w:val="333333"/>
        </w:rPr>
        <w:t>On January 21, 2026, in a filing on Schedule 13G under the Exchange Act, Dimensional Fund Advisors LP (“DFA”) reported beneficial ownership as of December 31, 2025, of 861,123 shares of Common Stock, as to all of which it has sole dispositive power and as to 843,395 shares of which it has sole voting power. DFA also reported that all of such shares were acquired in the ordinary course of business and not for the purpose or with the effect of changing or influencing control of the Company, or in connection with any transaction having such purpose or effect. The address of DFA is Building One, 6300 Bee Cave Road, Austin, TX 78746.</w:t>
      </w:r>
    </w:p>
    <w:p>
      <w:pPr>
        <w:spacing w:after="0" w:line="65" w:lineRule="exact"/>
        <w:rPr>
          <w:rFonts w:ascii="Arial" w:cs="Arial" w:eastAsia="Arial" w:hAnsi="Arial"/>
          <w:sz w:val="13"/>
          <w:szCs w:val="13"/>
          <w:color w:val="333333"/>
        </w:rPr>
      </w:pPr>
    </w:p>
    <w:p>
      <w:pPr>
        <w:ind w:left="340" w:hanging="334"/>
        <w:spacing w:after="0"/>
        <w:tabs>
          <w:tab w:leader="none" w:pos="340" w:val="left"/>
        </w:tabs>
        <w:numPr>
          <w:ilvl w:val="0"/>
          <w:numId w:val="10"/>
        </w:numPr>
        <w:rPr>
          <w:rFonts w:ascii="Arial" w:cs="Arial" w:eastAsia="Arial" w:hAnsi="Arial"/>
          <w:sz w:val="12"/>
          <w:szCs w:val="12"/>
          <w:color w:val="333333"/>
        </w:rPr>
      </w:pPr>
      <w:r>
        <w:rPr>
          <w:rFonts w:ascii="Arial" w:cs="Arial" w:eastAsia="Arial" w:hAnsi="Arial"/>
          <w:sz w:val="12"/>
          <w:szCs w:val="12"/>
          <w:color w:val="333333"/>
        </w:rPr>
        <w:t>On November 13, 2025, in a filing on Schedule 13G under the Exchange Act, Goldman Sachs Asset Management, L.P. (“GSAM”) reported beneficial ownership as of September 30, 2025, of 850,626 shares of Common Stock, as to which it reported having shared voting power in respect of 844,091 shares and shared dispositive power in respect of all of such shares. GSAM reported that all of such shares were acquired in the ordinary course of business and not for the purpose or with the effect of changing or influencing control of the Company, or in connection with any transaction having such purpose or effect. GSAM’s address is</w:t>
      </w:r>
    </w:p>
    <w:p>
      <w:pPr>
        <w:ind w:left="340"/>
        <w:spacing w:after="0"/>
        <w:rPr>
          <w:rFonts w:ascii="Arial" w:cs="Arial" w:eastAsia="Arial" w:hAnsi="Arial"/>
          <w:sz w:val="12"/>
          <w:szCs w:val="12"/>
          <w:color w:val="333333"/>
        </w:rPr>
      </w:pPr>
      <w:r>
        <w:rPr>
          <w:rFonts w:ascii="Arial" w:cs="Arial" w:eastAsia="Arial" w:hAnsi="Arial"/>
          <w:sz w:val="13"/>
          <w:szCs w:val="13"/>
          <w:color w:val="333333"/>
        </w:rPr>
        <w:t>200 West Street New York, NY 10282.</w:t>
      </w:r>
    </w:p>
    <w:p>
      <w:pPr>
        <w:spacing w:after="0" w:line="68" w:lineRule="exact"/>
        <w:rPr>
          <w:rFonts w:ascii="Arial" w:cs="Arial" w:eastAsia="Arial" w:hAnsi="Arial"/>
          <w:sz w:val="12"/>
          <w:szCs w:val="12"/>
          <w:color w:val="333333"/>
        </w:rPr>
      </w:pPr>
    </w:p>
    <w:p>
      <w:pPr>
        <w:ind w:left="340" w:right="60" w:hanging="334"/>
        <w:spacing w:after="0" w:line="243" w:lineRule="auto"/>
        <w:tabs>
          <w:tab w:leader="none" w:pos="340" w:val="left"/>
        </w:tabs>
        <w:numPr>
          <w:ilvl w:val="0"/>
          <w:numId w:val="10"/>
        </w:numPr>
        <w:rPr>
          <w:rFonts w:ascii="Arial" w:cs="Arial" w:eastAsia="Arial" w:hAnsi="Arial"/>
          <w:sz w:val="13"/>
          <w:szCs w:val="13"/>
          <w:color w:val="333333"/>
        </w:rPr>
      </w:pPr>
      <w:r>
        <w:rPr>
          <w:rFonts w:ascii="Arial" w:cs="Arial" w:eastAsia="Arial" w:hAnsi="Arial"/>
          <w:sz w:val="13"/>
          <w:szCs w:val="13"/>
          <w:color w:val="333333"/>
        </w:rPr>
        <w:t>The total number of shares of Common Stock reported as beneficially owned by Ms. DeMarsilis includes 126,493 shares which she has the right to acquire by the exercise of options under the Company’s Stock Plan.</w:t>
      </w:r>
    </w:p>
    <w:p>
      <w:pPr>
        <w:spacing w:after="0" w:line="48" w:lineRule="exact"/>
        <w:rPr>
          <w:rFonts w:ascii="Arial" w:cs="Arial" w:eastAsia="Arial" w:hAnsi="Arial"/>
          <w:sz w:val="13"/>
          <w:szCs w:val="13"/>
          <w:color w:val="333333"/>
        </w:rPr>
      </w:pPr>
    </w:p>
    <w:p>
      <w:pPr>
        <w:ind w:left="340" w:hanging="334"/>
        <w:spacing w:after="0"/>
        <w:tabs>
          <w:tab w:leader="none" w:pos="340" w:val="left"/>
        </w:tabs>
        <w:numPr>
          <w:ilvl w:val="0"/>
          <w:numId w:val="10"/>
        </w:numPr>
        <w:rPr>
          <w:rFonts w:ascii="Arial" w:cs="Arial" w:eastAsia="Arial" w:hAnsi="Arial"/>
          <w:sz w:val="12"/>
          <w:szCs w:val="12"/>
          <w:color w:val="333333"/>
        </w:rPr>
      </w:pPr>
      <w:r>
        <w:rPr>
          <w:rFonts w:ascii="Arial" w:cs="Arial" w:eastAsia="Arial" w:hAnsi="Arial"/>
          <w:sz w:val="12"/>
          <w:szCs w:val="12"/>
          <w:color w:val="333333"/>
        </w:rPr>
        <w:t>The total number of shares of Class A Common Stock beneficially owned by Mr. A. Grinberg includes 75,191 shares of Class A Common Stock and 25,000 shares of Common Stock owned by the Grinberg Family Foundation. As one of three directors of the Grinberg Family Foundation (along with Mr. E. Grinberg and their sister Miriam Phalen), Mr. A. Grinberg may be deemed to have shared voting and dispositive power over the shares owned by such foundation. Mr. A. Grinberg’s total also includes 11,292 shares of Class A Common Stock and 6,426 shares of Common Stock held by a trust for the benefit of Mr. A. Grinberg of which</w:t>
      </w:r>
    </w:p>
    <w:p>
      <w:pPr>
        <w:ind w:left="340" w:right="20"/>
        <w:spacing w:after="0" w:line="220" w:lineRule="auto"/>
        <w:rPr>
          <w:rFonts w:ascii="Arial" w:cs="Arial" w:eastAsia="Arial" w:hAnsi="Arial"/>
          <w:sz w:val="12"/>
          <w:szCs w:val="12"/>
          <w:color w:val="333333"/>
        </w:rPr>
      </w:pPr>
      <w:r>
        <w:rPr>
          <w:rFonts w:ascii="Arial" w:cs="Arial" w:eastAsia="Arial" w:hAnsi="Arial"/>
          <w:sz w:val="13"/>
          <w:szCs w:val="13"/>
          <w:color w:val="333333"/>
        </w:rPr>
        <w:t>Mr. A. Grinberg is co-trustee with Mr. E. Grinberg and Susan Teicher and over which Mr. A. Grinberg may therefore be deemed to have shared voting and dispositive power. Mr. A. Grinberg disclaims beneficial ownership as to the shares of Class A Common Stock and Common Stock held by the trust of which he is a trustee and the foundation for which he is a director, except, in each case, to the extent of his pecuniary interest therein. In addition, Mr. A. Grinberg is a limited partner in Grinberg Partners L.P. (“GPLP”), a Delaware limited partnership that owns 3,055,640 shares of Class A Common Stock, and is also the trustee of a grantor annuity trust that is a limited partner in Grinberg Partners II L.P. (“GPLPII”), a Delaware limited partnership that owns 189,381 shares of Class A Common Stock. However, the 3,245,021 combined shares of Class A Common Stock owned by GPLP and GPLPII are not included in Mr. A. Grinberg’s total in this beneficial ownership table since voting and dispositive power over these shares is controlled by Grinberg Group Partners, a Delaware general partnership (“GGP”) that is the general partner of GPLP and GPLPII.</w:t>
      </w:r>
    </w:p>
    <w:p>
      <w:pPr>
        <w:spacing w:after="0" w:line="66" w:lineRule="exact"/>
        <w:rPr>
          <w:rFonts w:ascii="Arial" w:cs="Arial" w:eastAsia="Arial" w:hAnsi="Arial"/>
          <w:sz w:val="12"/>
          <w:szCs w:val="12"/>
          <w:color w:val="333333"/>
        </w:rPr>
      </w:pPr>
    </w:p>
    <w:p>
      <w:pPr>
        <w:ind w:left="340" w:right="20" w:hanging="334"/>
        <w:spacing w:after="0" w:line="218" w:lineRule="auto"/>
        <w:tabs>
          <w:tab w:leader="none" w:pos="340" w:val="left"/>
        </w:tabs>
        <w:numPr>
          <w:ilvl w:val="0"/>
          <w:numId w:val="10"/>
        </w:numPr>
        <w:rPr>
          <w:rFonts w:ascii="Arial" w:cs="Arial" w:eastAsia="Arial" w:hAnsi="Arial"/>
          <w:sz w:val="13"/>
          <w:szCs w:val="13"/>
          <w:color w:val="333333"/>
        </w:rPr>
      </w:pPr>
      <w:r>
        <w:rPr>
          <w:rFonts w:ascii="Arial" w:cs="Arial" w:eastAsia="Arial" w:hAnsi="Arial"/>
          <w:sz w:val="13"/>
          <w:szCs w:val="13"/>
          <w:color w:val="333333"/>
        </w:rPr>
        <w:t>Of the shares of Common Stock reported as beneficially owned by Mr. E. Grinberg: 255,122 are shares which Mr. E. Grinberg has the right to acquire by the exercise of options under the Company’s Stock Plan; 6,425 are shares of Common Stock held by a remainder trust for the benefit of Mr. E. Grinberg (“EG Remainder Trust”), for which trust Mr. E. Grinberg is co-trustee together with Susan Teicher with whom he shares voting and dispositive power; 12,852 are shares of Common Stock held by remainder trusts for the benefit of Miriam Phalen and Mr. A. Grinberg (“MP/AG Remainder Trusts”), for which trusts Mr. E. Grinberg is co-trustee together with Susan Teicher and Ms. Phalen or Mr. A. Grinberg, as the case may be, and over which shares Mr. E. Grinberg may therefore be deemed to have shared voting and dispositive power; 20,000 are shares of Common Stock held by the Efraim Grinberg Family Foundation for which Mr. E. Grinberg is one of two directors (the other being Susan Teicher) with shared voting and dispositive power; and 25,000 are shares of Common Stock held by the Grinberg Family Foundation. Mr. E. Grinberg is one of three directors of the Grinberg Family Foundation (along with Ms. Phalen and Mr. A. Grinberg) and therefore may be deemed to have shared voting and dispositive power over the shares owned by that foundation. Included in Mr. E. Grinberg’s total number of shares of Class A Common Stock are: an aggregate of 563,306 shares held by several trusts for the benefit of Mr. E. Grinberg’s siblings and himself, of which trusts Mr. E. Grinberg is sole trustee; and 171,285 shares held by three testamentary trusts for the benefit of the children of Mr. E. Grinberg’s siblings, of which trusts he is sole trustee. As sole trustee of the foregoing trusts, Mr. E. Grinberg has sole investment and voting power with respect to the Class A Common Stock held in such trusts. In addition, the number of shares of Class A Common Stock reported for Mr. E. Grinberg also includes: an aggregate of 862,940 shares held by several trusts for the benefit of Mr. E. Grinberg’s siblings and himself; 855 shares held by a trust for the benefit of Mr. E. Grinberg’s nephew; and 11,291 shares held by the EG Remainder Trust. Mr. E. Grinberg is co-trustee with Susan Teicher for each of these trusts and, as co-trustee, Mr. E. Grinberg has shared voting and dispositive power, together with Ms. Teicher, with respect to the Class A Common Stock held in such trusts. The number of shares of Class A Common Stock reported for Mr. E. Grinberg also includes 22,584 shares held by the MP/AG Remainder Trusts. The total number of shares of Class A Common Stock beneficially owned by Mr. E. Grinberg also includes 3,055,640 shares owned by GPLP, 189,381 shares owned by GPLPII, 75,191 shares owned by the Grinberg Family Foundation and 23,000 shares owned by the Efraim Grinberg Family Foundation. As the managing partner of GGP (the general partner of GPLP), Mr. E. Grinberg shares with GGP and GPLP voting and dispositive power with respect to the 3,055,640 shares of Class A Common Stock held directly by GPLP. As the managing partner of GGP (the general partner of GPLPII), Mr. E. Grinberg also shares voting and dispositive power with GGP and GPLPII with respect to the 189,381 shares of Class A Common Stock held directly by GPLPII. Mr. E. Grinberg disclaims beneficial ownership as to the shares of Class A Common Stock and Common Stock held by GPLP, GPLPII, the trusts of which he is a trustee and the foundations for which he is a director, except, in each case, to the extent of his pecuniary interest therein.</w:t>
      </w:r>
    </w:p>
    <w:p>
      <w:pPr>
        <w:spacing w:after="0" w:line="75" w:lineRule="exact"/>
        <w:rPr>
          <w:rFonts w:ascii="Arial" w:cs="Arial" w:eastAsia="Arial" w:hAnsi="Arial"/>
          <w:sz w:val="13"/>
          <w:szCs w:val="13"/>
          <w:color w:val="333333"/>
        </w:rPr>
      </w:pPr>
    </w:p>
    <w:p>
      <w:pPr>
        <w:ind w:left="340" w:right="340" w:hanging="334"/>
        <w:spacing w:after="0" w:line="243" w:lineRule="auto"/>
        <w:tabs>
          <w:tab w:leader="none" w:pos="340" w:val="left"/>
        </w:tabs>
        <w:numPr>
          <w:ilvl w:val="0"/>
          <w:numId w:val="10"/>
        </w:numPr>
        <w:rPr>
          <w:rFonts w:ascii="Arial" w:cs="Arial" w:eastAsia="Arial" w:hAnsi="Arial"/>
          <w:sz w:val="13"/>
          <w:szCs w:val="13"/>
          <w:color w:val="333333"/>
        </w:rPr>
      </w:pPr>
      <w:r>
        <w:rPr>
          <w:rFonts w:ascii="Arial" w:cs="Arial" w:eastAsia="Arial" w:hAnsi="Arial"/>
          <w:sz w:val="13"/>
          <w:szCs w:val="13"/>
          <w:color w:val="333333"/>
        </w:rPr>
        <w:t>The total number of shares of Common Stock reported as beneficially owned by Mr. Soltani includes 146,322 shares which he has the right to acquire by the exercise of options under the Company’s Stock Plan.</w:t>
      </w:r>
    </w:p>
    <w:p>
      <w:pPr>
        <w:spacing w:after="0" w:line="48" w:lineRule="exact"/>
        <w:rPr>
          <w:rFonts w:ascii="Arial" w:cs="Arial" w:eastAsia="Arial" w:hAnsi="Arial"/>
          <w:sz w:val="13"/>
          <w:szCs w:val="13"/>
          <w:color w:val="333333"/>
        </w:rPr>
      </w:pPr>
    </w:p>
    <w:p>
      <w:pPr>
        <w:ind w:left="340" w:right="440" w:hanging="334"/>
        <w:spacing w:after="0" w:line="243" w:lineRule="auto"/>
        <w:tabs>
          <w:tab w:leader="none" w:pos="340" w:val="left"/>
        </w:tabs>
        <w:numPr>
          <w:ilvl w:val="0"/>
          <w:numId w:val="10"/>
        </w:numPr>
        <w:rPr>
          <w:rFonts w:ascii="Arial" w:cs="Arial" w:eastAsia="Arial" w:hAnsi="Arial"/>
          <w:sz w:val="13"/>
          <w:szCs w:val="13"/>
          <w:color w:val="333333"/>
        </w:rPr>
      </w:pPr>
      <w:r>
        <w:rPr>
          <w:rFonts w:ascii="Arial" w:cs="Arial" w:eastAsia="Arial" w:hAnsi="Arial"/>
          <w:sz w:val="13"/>
          <w:szCs w:val="13"/>
          <w:color w:val="333333"/>
        </w:rPr>
        <w:t>The total number of shares of Common Stock reported as beneficially owned by Mr. Sussis includes 31,527 shares which he has the right to acquire by the exercise of options under the Company’s Stock Plan.</w:t>
      </w:r>
    </w:p>
    <w:p>
      <w:pPr>
        <w:spacing w:after="0" w:line="61" w:lineRule="exact"/>
        <w:rPr>
          <w:rFonts w:ascii="Arial" w:cs="Arial" w:eastAsia="Arial" w:hAnsi="Arial"/>
          <w:sz w:val="13"/>
          <w:szCs w:val="13"/>
          <w:color w:val="333333"/>
        </w:rPr>
      </w:pPr>
    </w:p>
    <w:p>
      <w:pPr>
        <w:ind w:left="340" w:hanging="334"/>
        <w:spacing w:after="0"/>
        <w:tabs>
          <w:tab w:leader="none" w:pos="340" w:val="left"/>
        </w:tabs>
        <w:numPr>
          <w:ilvl w:val="0"/>
          <w:numId w:val="10"/>
        </w:numPr>
        <w:rPr>
          <w:rFonts w:ascii="Arial" w:cs="Arial" w:eastAsia="Arial" w:hAnsi="Arial"/>
          <w:sz w:val="13"/>
          <w:szCs w:val="13"/>
          <w:color w:val="333333"/>
        </w:rPr>
      </w:pPr>
      <w:r>
        <w:rPr>
          <w:rFonts w:ascii="Arial" w:cs="Arial" w:eastAsia="Arial" w:hAnsi="Arial"/>
          <w:sz w:val="13"/>
          <w:szCs w:val="13"/>
          <w:color w:val="333333"/>
        </w:rPr>
        <w:t>Excludes double counting of shares deemed to be beneficially owned by more than one person.</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Movado Group, Inc.        6</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PROPOSAL 1 —</w:t>
      </w:r>
    </w:p>
    <w:p>
      <w:pPr>
        <w:spacing w:after="0" w:line="105" w:lineRule="exact"/>
        <w:rPr>
          <w:sz w:val="20"/>
          <w:szCs w:val="20"/>
          <w:color w:val="auto"/>
        </w:rPr>
      </w:pPr>
    </w:p>
    <w:p>
      <w:pPr>
        <w:spacing w:after="0"/>
        <w:rPr>
          <w:sz w:val="20"/>
          <w:szCs w:val="20"/>
          <w:color w:val="auto"/>
        </w:rPr>
      </w:pPr>
      <w:r>
        <w:rPr>
          <w:rFonts w:ascii="Arial" w:cs="Arial" w:eastAsia="Arial" w:hAnsi="Arial"/>
          <w:sz w:val="50"/>
          <w:szCs w:val="50"/>
          <w:b w:val="1"/>
          <w:bCs w:val="1"/>
          <w:color w:val="D9BA05"/>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59664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91"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Directors hold office until the next annual meeting of shareholders and until the election and qualification of their successors. Under the Company’s by-laws, the Board of Directors can change the number of directors comprising the entire Board of Directors so long as the number is not less than three. The Board of Directors currently consists of eight directors.</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All of the nominees are members of the present Board of Directors. If any nominee for election to the Board of Directors should be unable to accept nomination or election as a director, which is not expected, your proxy may be voted for a substitute or substitutes designated by the Board of Directors or the number of directors constituting the Board of Directors may be reduced in accordance with the Company’s by-laws. Directors will be elected by the holders of a plurality of the voting power present in person or represented by proxy and entitled to vote. Abstentions will not be counted for purposes of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35560</wp:posOffset>
            </wp:positionV>
            <wp:extent cx="5970270" cy="3302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70270" cy="330200"/>
                    </a:xfrm>
                    <a:prstGeom prst="rect">
                      <a:avLst/>
                    </a:prstGeom>
                    <a:noFill/>
                  </pic:spPr>
                </pic:pic>
              </a:graphicData>
            </a:graphic>
          </wp:anchor>
        </w:drawing>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The Board of Directors recommends that shareholders vote FOR the election of the nominees listed below.</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6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NAME</w:t>
            </w:r>
          </w:p>
        </w:tc>
        <w:tc>
          <w:tcPr>
            <w:tcW w:w="1200" w:type="dxa"/>
            <w:vAlign w:val="bottom"/>
            <w:vMerge w:val="restart"/>
          </w:tcPr>
          <w:p>
            <w:pPr>
              <w:jc w:val="center"/>
              <w:ind w:left="249"/>
              <w:spacing w:after="0"/>
              <w:rPr>
                <w:sz w:val="20"/>
                <w:szCs w:val="20"/>
                <w:color w:val="auto"/>
              </w:rPr>
            </w:pPr>
            <w:r>
              <w:rPr>
                <w:rFonts w:ascii="Arial" w:cs="Arial" w:eastAsia="Arial" w:hAnsi="Arial"/>
                <w:sz w:val="13"/>
                <w:szCs w:val="13"/>
                <w:b w:val="1"/>
                <w:bCs w:val="1"/>
                <w:color w:val="auto"/>
                <w:w w:val="99"/>
              </w:rPr>
              <w:t>AGE</w:t>
            </w:r>
          </w:p>
        </w:tc>
        <w:tc>
          <w:tcPr>
            <w:tcW w:w="1180" w:type="dxa"/>
            <w:vAlign w:val="bottom"/>
          </w:tcPr>
          <w:p>
            <w:pPr>
              <w:jc w:val="center"/>
              <w:ind w:left="10"/>
              <w:spacing w:after="0"/>
              <w:rPr>
                <w:sz w:val="20"/>
                <w:szCs w:val="20"/>
                <w:color w:val="auto"/>
              </w:rPr>
            </w:pPr>
            <w:r>
              <w:rPr>
                <w:rFonts w:ascii="Arial" w:cs="Arial" w:eastAsia="Arial" w:hAnsi="Arial"/>
                <w:sz w:val="13"/>
                <w:szCs w:val="13"/>
                <w:b w:val="1"/>
                <w:bCs w:val="1"/>
                <w:color w:val="auto"/>
                <w:w w:val="97"/>
              </w:rPr>
              <w:t>DIRECTOR</w:t>
            </w:r>
          </w:p>
        </w:tc>
        <w:tc>
          <w:tcPr>
            <w:tcW w:w="4960" w:type="dxa"/>
            <w:vAlign w:val="bottom"/>
            <w:vMerge w:val="restart"/>
          </w:tcPr>
          <w:p>
            <w:pPr>
              <w:ind w:left="220"/>
              <w:spacing w:after="0"/>
              <w:rPr>
                <w:sz w:val="20"/>
                <w:szCs w:val="20"/>
                <w:color w:val="auto"/>
              </w:rPr>
            </w:pPr>
            <w:r>
              <w:rPr>
                <w:rFonts w:ascii="Arial" w:cs="Arial" w:eastAsia="Arial" w:hAnsi="Arial"/>
                <w:sz w:val="13"/>
                <w:szCs w:val="13"/>
                <w:b w:val="1"/>
                <w:bCs w:val="1"/>
                <w:color w:val="auto"/>
              </w:rPr>
              <w:t>POSITION</w:t>
            </w:r>
          </w:p>
        </w:tc>
        <w:tc>
          <w:tcPr>
            <w:tcW w:w="0" w:type="dxa"/>
            <w:vAlign w:val="bottom"/>
          </w:tcPr>
          <w:p>
            <w:pPr>
              <w:spacing w:after="0"/>
              <w:rPr>
                <w:sz w:val="1"/>
                <w:szCs w:val="1"/>
                <w:color w:val="auto"/>
              </w:rPr>
            </w:pPr>
          </w:p>
        </w:tc>
      </w:tr>
      <w:tr>
        <w:trPr>
          <w:trHeight w:val="172"/>
        </w:trPr>
        <w:tc>
          <w:tcPr>
            <w:tcW w:w="20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80" w:type="dxa"/>
            <w:vAlign w:val="bottom"/>
          </w:tcPr>
          <w:p>
            <w:pPr>
              <w:jc w:val="center"/>
              <w:ind w:left="10"/>
              <w:spacing w:after="0"/>
              <w:rPr>
                <w:sz w:val="20"/>
                <w:szCs w:val="20"/>
                <w:color w:val="auto"/>
              </w:rPr>
            </w:pPr>
            <w:r>
              <w:rPr>
                <w:rFonts w:ascii="Arial" w:cs="Arial" w:eastAsia="Arial" w:hAnsi="Arial"/>
                <w:sz w:val="13"/>
                <w:szCs w:val="13"/>
                <w:b w:val="1"/>
                <w:bCs w:val="1"/>
                <w:color w:val="auto"/>
                <w:w w:val="95"/>
              </w:rPr>
              <w:t>SINCE</w:t>
            </w:r>
          </w:p>
        </w:tc>
        <w:tc>
          <w:tcPr>
            <w:tcW w:w="4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206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b w:val="1"/>
                <w:bCs w:val="1"/>
                <w:color w:val="auto"/>
              </w:rPr>
              <w:t>Peter A. Bridgman</w:t>
            </w:r>
          </w:p>
        </w:tc>
        <w:tc>
          <w:tcPr>
            <w:tcW w:w="1200" w:type="dxa"/>
            <w:vAlign w:val="bottom"/>
            <w:tcBorders>
              <w:bottom w:val="single" w:sz="8" w:color="E6E6E6"/>
            </w:tcBorders>
            <w:shd w:val="clear" w:color="auto" w:fill="E6E6E6"/>
          </w:tcPr>
          <w:p>
            <w:pPr>
              <w:jc w:val="center"/>
              <w:ind w:left="249"/>
              <w:spacing w:after="0"/>
              <w:rPr>
                <w:sz w:val="20"/>
                <w:szCs w:val="20"/>
                <w:color w:val="auto"/>
              </w:rPr>
            </w:pPr>
            <w:r>
              <w:rPr>
                <w:rFonts w:ascii="Arial" w:cs="Arial" w:eastAsia="Arial" w:hAnsi="Arial"/>
                <w:sz w:val="14"/>
                <w:szCs w:val="14"/>
                <w:color w:val="auto"/>
              </w:rPr>
              <w:t>74</w:t>
            </w:r>
          </w:p>
        </w:tc>
        <w:tc>
          <w:tcPr>
            <w:tcW w:w="1180" w:type="dxa"/>
            <w:vAlign w:val="bottom"/>
            <w:tcBorders>
              <w:bottom w:val="single" w:sz="8" w:color="E6E6E6"/>
            </w:tcBorders>
            <w:shd w:val="clear" w:color="auto" w:fill="E6E6E6"/>
          </w:tcPr>
          <w:p>
            <w:pPr>
              <w:jc w:val="center"/>
              <w:ind w:left="30"/>
              <w:spacing w:after="0"/>
              <w:rPr>
                <w:sz w:val="20"/>
                <w:szCs w:val="20"/>
                <w:color w:val="auto"/>
              </w:rPr>
            </w:pPr>
            <w:r>
              <w:rPr>
                <w:rFonts w:ascii="Arial" w:cs="Arial" w:eastAsia="Arial" w:hAnsi="Arial"/>
                <w:sz w:val="14"/>
                <w:szCs w:val="14"/>
                <w:color w:val="auto"/>
              </w:rPr>
              <w:t>2014</w:t>
            </w:r>
          </w:p>
        </w:tc>
        <w:tc>
          <w:tcPr>
            <w:tcW w:w="496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4"/>
                <w:szCs w:val="14"/>
                <w:color w:val="auto"/>
              </w:rPr>
              <w:t>Director and Audit Committee Chair</w:t>
            </w:r>
          </w:p>
        </w:tc>
        <w:tc>
          <w:tcPr>
            <w:tcW w:w="0" w:type="dxa"/>
            <w:vAlign w:val="bottom"/>
          </w:tcPr>
          <w:p>
            <w:pPr>
              <w:spacing w:after="0"/>
              <w:rPr>
                <w:sz w:val="1"/>
                <w:szCs w:val="1"/>
                <w:color w:val="auto"/>
              </w:rPr>
            </w:pPr>
          </w:p>
        </w:tc>
      </w:tr>
      <w:tr>
        <w:trPr>
          <w:trHeight w:val="254"/>
        </w:trPr>
        <w:tc>
          <w:tcPr>
            <w:tcW w:w="2060" w:type="dxa"/>
            <w:vAlign w:val="bottom"/>
          </w:tcPr>
          <w:p>
            <w:pPr>
              <w:ind w:left="160"/>
              <w:spacing w:after="0"/>
              <w:rPr>
                <w:sz w:val="20"/>
                <w:szCs w:val="20"/>
                <w:color w:val="auto"/>
              </w:rPr>
            </w:pPr>
            <w:r>
              <w:rPr>
                <w:rFonts w:ascii="Arial" w:cs="Arial" w:eastAsia="Arial" w:hAnsi="Arial"/>
                <w:sz w:val="14"/>
                <w:szCs w:val="14"/>
                <w:b w:val="1"/>
                <w:bCs w:val="1"/>
                <w:color w:val="auto"/>
              </w:rPr>
              <w:t>Alex Grinberg</w:t>
            </w:r>
          </w:p>
        </w:tc>
        <w:tc>
          <w:tcPr>
            <w:tcW w:w="1200" w:type="dxa"/>
            <w:vAlign w:val="bottom"/>
          </w:tcPr>
          <w:p>
            <w:pPr>
              <w:jc w:val="center"/>
              <w:ind w:left="249"/>
              <w:spacing w:after="0"/>
              <w:rPr>
                <w:sz w:val="20"/>
                <w:szCs w:val="20"/>
                <w:color w:val="auto"/>
              </w:rPr>
            </w:pPr>
            <w:r>
              <w:rPr>
                <w:rFonts w:ascii="Arial" w:cs="Arial" w:eastAsia="Arial" w:hAnsi="Arial"/>
                <w:sz w:val="14"/>
                <w:szCs w:val="14"/>
                <w:color w:val="auto"/>
              </w:rPr>
              <w:t>63</w:t>
            </w:r>
          </w:p>
        </w:tc>
        <w:tc>
          <w:tcPr>
            <w:tcW w:w="1180" w:type="dxa"/>
            <w:vAlign w:val="bottom"/>
          </w:tcPr>
          <w:p>
            <w:pPr>
              <w:jc w:val="center"/>
              <w:ind w:left="10"/>
              <w:spacing w:after="0"/>
              <w:rPr>
                <w:sz w:val="20"/>
                <w:szCs w:val="20"/>
                <w:color w:val="auto"/>
              </w:rPr>
            </w:pPr>
            <w:r>
              <w:rPr>
                <w:rFonts w:ascii="Arial" w:cs="Arial" w:eastAsia="Arial" w:hAnsi="Arial"/>
                <w:sz w:val="14"/>
                <w:szCs w:val="14"/>
                <w:color w:val="auto"/>
                <w:w w:val="96"/>
              </w:rPr>
              <w:t>2011</w:t>
            </w:r>
          </w:p>
        </w:tc>
        <w:tc>
          <w:tcPr>
            <w:tcW w:w="4960" w:type="dxa"/>
            <w:vAlign w:val="bottom"/>
          </w:tcPr>
          <w:p>
            <w:pPr>
              <w:ind w:left="220"/>
              <w:spacing w:after="0"/>
              <w:rPr>
                <w:sz w:val="20"/>
                <w:szCs w:val="20"/>
                <w:color w:val="auto"/>
              </w:rPr>
            </w:pPr>
            <w:r>
              <w:rPr>
                <w:rFonts w:ascii="Arial" w:cs="Arial" w:eastAsia="Arial" w:hAnsi="Arial"/>
                <w:sz w:val="14"/>
                <w:szCs w:val="14"/>
                <w:color w:val="auto"/>
              </w:rPr>
              <w:t>Senior Vice President Customer Experience; Director</w:t>
            </w:r>
          </w:p>
        </w:tc>
        <w:tc>
          <w:tcPr>
            <w:tcW w:w="0" w:type="dxa"/>
            <w:vAlign w:val="bottom"/>
          </w:tcPr>
          <w:p>
            <w:pPr>
              <w:spacing w:after="0"/>
              <w:rPr>
                <w:sz w:val="1"/>
                <w:szCs w:val="1"/>
                <w:color w:val="auto"/>
              </w:rPr>
            </w:pPr>
          </w:p>
        </w:tc>
      </w:tr>
      <w:tr>
        <w:trPr>
          <w:trHeight w:val="56"/>
        </w:trPr>
        <w:tc>
          <w:tcPr>
            <w:tcW w:w="2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206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b w:val="1"/>
                <w:bCs w:val="1"/>
                <w:color w:val="auto"/>
              </w:rPr>
              <w:t>Efraim Grinberg</w:t>
            </w:r>
          </w:p>
        </w:tc>
        <w:tc>
          <w:tcPr>
            <w:tcW w:w="1200" w:type="dxa"/>
            <w:vAlign w:val="bottom"/>
            <w:tcBorders>
              <w:bottom w:val="single" w:sz="8" w:color="E6E6E6"/>
            </w:tcBorders>
            <w:shd w:val="clear" w:color="auto" w:fill="E6E6E6"/>
          </w:tcPr>
          <w:p>
            <w:pPr>
              <w:jc w:val="center"/>
              <w:ind w:left="249"/>
              <w:spacing w:after="0"/>
              <w:rPr>
                <w:sz w:val="20"/>
                <w:szCs w:val="20"/>
                <w:color w:val="auto"/>
              </w:rPr>
            </w:pPr>
            <w:r>
              <w:rPr>
                <w:rFonts w:ascii="Arial" w:cs="Arial" w:eastAsia="Arial" w:hAnsi="Arial"/>
                <w:sz w:val="14"/>
                <w:szCs w:val="14"/>
                <w:color w:val="auto"/>
              </w:rPr>
              <w:t>68</w:t>
            </w:r>
          </w:p>
        </w:tc>
        <w:tc>
          <w:tcPr>
            <w:tcW w:w="1180" w:type="dxa"/>
            <w:vAlign w:val="bottom"/>
            <w:tcBorders>
              <w:bottom w:val="single" w:sz="8" w:color="E6E6E6"/>
            </w:tcBorders>
            <w:shd w:val="clear" w:color="auto" w:fill="E6E6E6"/>
          </w:tcPr>
          <w:p>
            <w:pPr>
              <w:jc w:val="center"/>
              <w:ind w:left="30"/>
              <w:spacing w:after="0"/>
              <w:rPr>
                <w:sz w:val="20"/>
                <w:szCs w:val="20"/>
                <w:color w:val="auto"/>
              </w:rPr>
            </w:pPr>
            <w:r>
              <w:rPr>
                <w:rFonts w:ascii="Arial" w:cs="Arial" w:eastAsia="Arial" w:hAnsi="Arial"/>
                <w:sz w:val="14"/>
                <w:szCs w:val="14"/>
                <w:color w:val="auto"/>
              </w:rPr>
              <w:t>1988</w:t>
            </w:r>
          </w:p>
        </w:tc>
        <w:tc>
          <w:tcPr>
            <w:tcW w:w="496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4"/>
                <w:szCs w:val="14"/>
                <w:color w:val="auto"/>
              </w:rPr>
              <w:t>Chair of the Board of Directors and Chief Executive Officer; Director</w:t>
            </w:r>
          </w:p>
        </w:tc>
        <w:tc>
          <w:tcPr>
            <w:tcW w:w="0" w:type="dxa"/>
            <w:vAlign w:val="bottom"/>
          </w:tcPr>
          <w:p>
            <w:pPr>
              <w:spacing w:after="0"/>
              <w:rPr>
                <w:sz w:val="1"/>
                <w:szCs w:val="1"/>
                <w:color w:val="auto"/>
              </w:rPr>
            </w:pPr>
          </w:p>
        </w:tc>
      </w:tr>
      <w:tr>
        <w:trPr>
          <w:trHeight w:val="254"/>
        </w:trPr>
        <w:tc>
          <w:tcPr>
            <w:tcW w:w="2060" w:type="dxa"/>
            <w:vAlign w:val="bottom"/>
          </w:tcPr>
          <w:p>
            <w:pPr>
              <w:ind w:left="160"/>
              <w:spacing w:after="0"/>
              <w:rPr>
                <w:sz w:val="20"/>
                <w:szCs w:val="20"/>
                <w:color w:val="auto"/>
              </w:rPr>
            </w:pPr>
            <w:r>
              <w:rPr>
                <w:rFonts w:ascii="Arial" w:cs="Arial" w:eastAsia="Arial" w:hAnsi="Arial"/>
                <w:sz w:val="14"/>
                <w:szCs w:val="14"/>
                <w:b w:val="1"/>
                <w:bCs w:val="1"/>
                <w:color w:val="auto"/>
              </w:rPr>
              <w:t>Alan H. Howard</w:t>
            </w:r>
          </w:p>
        </w:tc>
        <w:tc>
          <w:tcPr>
            <w:tcW w:w="1200" w:type="dxa"/>
            <w:vAlign w:val="bottom"/>
          </w:tcPr>
          <w:p>
            <w:pPr>
              <w:jc w:val="center"/>
              <w:ind w:left="249"/>
              <w:spacing w:after="0"/>
              <w:rPr>
                <w:sz w:val="20"/>
                <w:szCs w:val="20"/>
                <w:color w:val="auto"/>
              </w:rPr>
            </w:pPr>
            <w:r>
              <w:rPr>
                <w:rFonts w:ascii="Arial" w:cs="Arial" w:eastAsia="Arial" w:hAnsi="Arial"/>
                <w:sz w:val="14"/>
                <w:szCs w:val="14"/>
                <w:color w:val="auto"/>
              </w:rPr>
              <w:t>66</w:t>
            </w:r>
          </w:p>
        </w:tc>
        <w:tc>
          <w:tcPr>
            <w:tcW w:w="1180" w:type="dxa"/>
            <w:vAlign w:val="bottom"/>
          </w:tcPr>
          <w:p>
            <w:pPr>
              <w:jc w:val="center"/>
              <w:ind w:left="30"/>
              <w:spacing w:after="0"/>
              <w:rPr>
                <w:sz w:val="20"/>
                <w:szCs w:val="20"/>
                <w:color w:val="auto"/>
              </w:rPr>
            </w:pPr>
            <w:r>
              <w:rPr>
                <w:rFonts w:ascii="Arial" w:cs="Arial" w:eastAsia="Arial" w:hAnsi="Arial"/>
                <w:sz w:val="14"/>
                <w:szCs w:val="14"/>
                <w:color w:val="auto"/>
              </w:rPr>
              <w:t>1997</w:t>
            </w:r>
          </w:p>
        </w:tc>
        <w:tc>
          <w:tcPr>
            <w:tcW w:w="4960" w:type="dxa"/>
            <w:vAlign w:val="bottom"/>
          </w:tcPr>
          <w:p>
            <w:pPr>
              <w:ind w:left="220"/>
              <w:spacing w:after="0"/>
              <w:rPr>
                <w:sz w:val="20"/>
                <w:szCs w:val="20"/>
                <w:color w:val="auto"/>
              </w:rPr>
            </w:pPr>
            <w:r>
              <w:rPr>
                <w:rFonts w:ascii="Arial" w:cs="Arial" w:eastAsia="Arial" w:hAnsi="Arial"/>
                <w:sz w:val="14"/>
                <w:szCs w:val="14"/>
                <w:color w:val="auto"/>
              </w:rPr>
              <w:t>Lead Director and Compensation and Human Capital Committee Chair</w:t>
            </w:r>
          </w:p>
        </w:tc>
        <w:tc>
          <w:tcPr>
            <w:tcW w:w="0" w:type="dxa"/>
            <w:vAlign w:val="bottom"/>
          </w:tcPr>
          <w:p>
            <w:pPr>
              <w:spacing w:after="0"/>
              <w:rPr>
                <w:sz w:val="1"/>
                <w:szCs w:val="1"/>
                <w:color w:val="auto"/>
              </w:rPr>
            </w:pPr>
          </w:p>
        </w:tc>
      </w:tr>
      <w:tr>
        <w:trPr>
          <w:trHeight w:val="56"/>
        </w:trPr>
        <w:tc>
          <w:tcPr>
            <w:tcW w:w="2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4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206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b w:val="1"/>
                <w:bCs w:val="1"/>
                <w:color w:val="auto"/>
              </w:rPr>
              <w:t>Richard Isserman</w:t>
            </w:r>
          </w:p>
        </w:tc>
        <w:tc>
          <w:tcPr>
            <w:tcW w:w="1200" w:type="dxa"/>
            <w:vAlign w:val="bottom"/>
            <w:tcBorders>
              <w:bottom w:val="single" w:sz="8" w:color="E6E6E6"/>
            </w:tcBorders>
            <w:shd w:val="clear" w:color="auto" w:fill="E6E6E6"/>
          </w:tcPr>
          <w:p>
            <w:pPr>
              <w:jc w:val="center"/>
              <w:ind w:left="249"/>
              <w:spacing w:after="0"/>
              <w:rPr>
                <w:sz w:val="20"/>
                <w:szCs w:val="20"/>
                <w:color w:val="auto"/>
              </w:rPr>
            </w:pPr>
            <w:r>
              <w:rPr>
                <w:rFonts w:ascii="Arial" w:cs="Arial" w:eastAsia="Arial" w:hAnsi="Arial"/>
                <w:sz w:val="14"/>
                <w:szCs w:val="14"/>
                <w:color w:val="auto"/>
              </w:rPr>
              <w:t>91</w:t>
            </w:r>
          </w:p>
        </w:tc>
        <w:tc>
          <w:tcPr>
            <w:tcW w:w="1180" w:type="dxa"/>
            <w:vAlign w:val="bottom"/>
            <w:tcBorders>
              <w:bottom w:val="single" w:sz="8" w:color="E6E6E6"/>
            </w:tcBorders>
            <w:shd w:val="clear" w:color="auto" w:fill="E6E6E6"/>
          </w:tcPr>
          <w:p>
            <w:pPr>
              <w:jc w:val="center"/>
              <w:ind w:left="30"/>
              <w:spacing w:after="0"/>
              <w:rPr>
                <w:sz w:val="20"/>
                <w:szCs w:val="20"/>
                <w:color w:val="auto"/>
              </w:rPr>
            </w:pPr>
            <w:r>
              <w:rPr>
                <w:rFonts w:ascii="Arial" w:cs="Arial" w:eastAsia="Arial" w:hAnsi="Arial"/>
                <w:sz w:val="14"/>
                <w:szCs w:val="14"/>
                <w:color w:val="auto"/>
              </w:rPr>
              <w:t>2005</w:t>
            </w:r>
          </w:p>
        </w:tc>
        <w:tc>
          <w:tcPr>
            <w:tcW w:w="496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220"/>
        </w:trPr>
        <w:tc>
          <w:tcPr>
            <w:tcW w:w="20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Ann Kirschner</w:t>
            </w:r>
          </w:p>
        </w:tc>
        <w:tc>
          <w:tcPr>
            <w:tcW w:w="1200" w:type="dxa"/>
            <w:vAlign w:val="bottom"/>
            <w:vMerge w:val="restart"/>
          </w:tcPr>
          <w:p>
            <w:pPr>
              <w:jc w:val="center"/>
              <w:ind w:left="249"/>
              <w:spacing w:after="0"/>
              <w:rPr>
                <w:sz w:val="20"/>
                <w:szCs w:val="20"/>
                <w:color w:val="auto"/>
              </w:rPr>
            </w:pPr>
            <w:r>
              <w:rPr>
                <w:rFonts w:ascii="Arial" w:cs="Arial" w:eastAsia="Arial" w:hAnsi="Arial"/>
                <w:sz w:val="14"/>
                <w:szCs w:val="14"/>
                <w:color w:val="auto"/>
              </w:rPr>
              <w:t>75</w:t>
            </w:r>
          </w:p>
        </w:tc>
        <w:tc>
          <w:tcPr>
            <w:tcW w:w="1180" w:type="dxa"/>
            <w:vAlign w:val="bottom"/>
            <w:vMerge w:val="restart"/>
          </w:tcPr>
          <w:p>
            <w:pPr>
              <w:jc w:val="center"/>
              <w:ind w:left="30"/>
              <w:spacing w:after="0"/>
              <w:rPr>
                <w:sz w:val="20"/>
                <w:szCs w:val="20"/>
                <w:color w:val="auto"/>
              </w:rPr>
            </w:pPr>
            <w:r>
              <w:rPr>
                <w:rFonts w:ascii="Arial" w:cs="Arial" w:eastAsia="Arial" w:hAnsi="Arial"/>
                <w:sz w:val="14"/>
                <w:szCs w:val="14"/>
                <w:color w:val="auto"/>
              </w:rPr>
              <w:t>2019</w:t>
            </w:r>
          </w:p>
        </w:tc>
        <w:tc>
          <w:tcPr>
            <w:tcW w:w="4960" w:type="dxa"/>
            <w:vAlign w:val="bottom"/>
          </w:tcPr>
          <w:p>
            <w:pPr>
              <w:ind w:left="220"/>
              <w:spacing w:after="0"/>
              <w:rPr>
                <w:sz w:val="20"/>
                <w:szCs w:val="20"/>
                <w:color w:val="auto"/>
              </w:rPr>
            </w:pPr>
            <w:r>
              <w:rPr>
                <w:rFonts w:ascii="Arial" w:cs="Arial" w:eastAsia="Arial" w:hAnsi="Arial"/>
                <w:sz w:val="14"/>
                <w:szCs w:val="14"/>
                <w:color w:val="auto"/>
              </w:rPr>
              <w:t>Director and Nominating, Governance and Corporate Responsibility</w:t>
            </w:r>
          </w:p>
        </w:tc>
        <w:tc>
          <w:tcPr>
            <w:tcW w:w="0" w:type="dxa"/>
            <w:vAlign w:val="bottom"/>
          </w:tcPr>
          <w:p>
            <w:pPr>
              <w:spacing w:after="0"/>
              <w:rPr>
                <w:sz w:val="1"/>
                <w:szCs w:val="1"/>
                <w:color w:val="auto"/>
              </w:rPr>
            </w:pPr>
          </w:p>
        </w:tc>
      </w:tr>
      <w:tr>
        <w:trPr>
          <w:trHeight w:val="115"/>
        </w:trPr>
        <w:tc>
          <w:tcPr>
            <w:tcW w:w="20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4960" w:type="dxa"/>
            <w:vAlign w:val="bottom"/>
            <w:vMerge w:val="restart"/>
          </w:tcPr>
          <w:p>
            <w:pPr>
              <w:ind w:left="220"/>
              <w:spacing w:after="0"/>
              <w:rPr>
                <w:sz w:val="20"/>
                <w:szCs w:val="20"/>
                <w:color w:val="auto"/>
              </w:rPr>
            </w:pPr>
            <w:r>
              <w:rPr>
                <w:rFonts w:ascii="Arial" w:cs="Arial" w:eastAsia="Arial" w:hAnsi="Arial"/>
                <w:sz w:val="14"/>
                <w:szCs w:val="14"/>
                <w:color w:val="auto"/>
              </w:rPr>
              <w:t>Committee Chair</w:t>
            </w:r>
          </w:p>
        </w:tc>
        <w:tc>
          <w:tcPr>
            <w:tcW w:w="0" w:type="dxa"/>
            <w:vAlign w:val="bottom"/>
          </w:tcPr>
          <w:p>
            <w:pPr>
              <w:spacing w:after="0"/>
              <w:rPr>
                <w:sz w:val="1"/>
                <w:szCs w:val="1"/>
                <w:color w:val="auto"/>
              </w:rPr>
            </w:pPr>
          </w:p>
        </w:tc>
      </w:tr>
      <w:tr>
        <w:trPr>
          <w:trHeight w:val="75"/>
        </w:trPr>
        <w:tc>
          <w:tcPr>
            <w:tcW w:w="2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4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06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b w:val="1"/>
                <w:bCs w:val="1"/>
                <w:color w:val="auto"/>
              </w:rPr>
              <w:t>Maya Peterson</w:t>
            </w:r>
          </w:p>
        </w:tc>
        <w:tc>
          <w:tcPr>
            <w:tcW w:w="1200" w:type="dxa"/>
            <w:vAlign w:val="bottom"/>
            <w:tcBorders>
              <w:bottom w:val="single" w:sz="8" w:color="E6E6E6"/>
            </w:tcBorders>
            <w:shd w:val="clear" w:color="auto" w:fill="E6E6E6"/>
          </w:tcPr>
          <w:p>
            <w:pPr>
              <w:jc w:val="center"/>
              <w:ind w:left="249"/>
              <w:spacing w:after="0"/>
              <w:rPr>
                <w:sz w:val="20"/>
                <w:szCs w:val="20"/>
                <w:color w:val="auto"/>
              </w:rPr>
            </w:pPr>
            <w:r>
              <w:rPr>
                <w:rFonts w:ascii="Arial" w:cs="Arial" w:eastAsia="Arial" w:hAnsi="Arial"/>
                <w:sz w:val="14"/>
                <w:szCs w:val="14"/>
                <w:color w:val="auto"/>
              </w:rPr>
              <w:t>46</w:t>
            </w:r>
          </w:p>
        </w:tc>
        <w:tc>
          <w:tcPr>
            <w:tcW w:w="1180" w:type="dxa"/>
            <w:vAlign w:val="bottom"/>
            <w:tcBorders>
              <w:bottom w:val="single" w:sz="8" w:color="E6E6E6"/>
            </w:tcBorders>
            <w:shd w:val="clear" w:color="auto" w:fill="E6E6E6"/>
          </w:tcPr>
          <w:p>
            <w:pPr>
              <w:jc w:val="center"/>
              <w:ind w:left="30"/>
              <w:spacing w:after="0"/>
              <w:rPr>
                <w:sz w:val="20"/>
                <w:szCs w:val="20"/>
                <w:color w:val="auto"/>
              </w:rPr>
            </w:pPr>
            <w:r>
              <w:rPr>
                <w:rFonts w:ascii="Arial" w:cs="Arial" w:eastAsia="Arial" w:hAnsi="Arial"/>
                <w:sz w:val="14"/>
                <w:szCs w:val="14"/>
                <w:color w:val="auto"/>
              </w:rPr>
              <w:t>2022</w:t>
            </w:r>
          </w:p>
        </w:tc>
        <w:tc>
          <w:tcPr>
            <w:tcW w:w="4960" w:type="dxa"/>
            <w:vAlign w:val="bottom"/>
            <w:tcBorders>
              <w:bottom w:val="single" w:sz="8" w:color="E6E6E6"/>
            </w:tcBorders>
            <w:shd w:val="clear" w:color="auto" w:fill="E6E6E6"/>
          </w:tcPr>
          <w:p>
            <w:pPr>
              <w:ind w:left="2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255"/>
        </w:trPr>
        <w:tc>
          <w:tcPr>
            <w:tcW w:w="2060" w:type="dxa"/>
            <w:vAlign w:val="bottom"/>
          </w:tcPr>
          <w:p>
            <w:pPr>
              <w:ind w:left="160"/>
              <w:spacing w:after="0"/>
              <w:rPr>
                <w:sz w:val="20"/>
                <w:szCs w:val="20"/>
                <w:color w:val="auto"/>
              </w:rPr>
            </w:pPr>
            <w:r>
              <w:rPr>
                <w:rFonts w:ascii="Arial" w:cs="Arial" w:eastAsia="Arial" w:hAnsi="Arial"/>
                <w:sz w:val="14"/>
                <w:szCs w:val="14"/>
                <w:b w:val="1"/>
                <w:bCs w:val="1"/>
                <w:color w:val="auto"/>
              </w:rPr>
              <w:t>Stephen Sadove</w:t>
            </w:r>
          </w:p>
        </w:tc>
        <w:tc>
          <w:tcPr>
            <w:tcW w:w="1200" w:type="dxa"/>
            <w:vAlign w:val="bottom"/>
          </w:tcPr>
          <w:p>
            <w:pPr>
              <w:jc w:val="center"/>
              <w:ind w:left="249"/>
              <w:spacing w:after="0"/>
              <w:rPr>
                <w:sz w:val="20"/>
                <w:szCs w:val="20"/>
                <w:color w:val="auto"/>
              </w:rPr>
            </w:pPr>
            <w:r>
              <w:rPr>
                <w:rFonts w:ascii="Arial" w:cs="Arial" w:eastAsia="Arial" w:hAnsi="Arial"/>
                <w:sz w:val="14"/>
                <w:szCs w:val="14"/>
                <w:color w:val="auto"/>
              </w:rPr>
              <w:t>74</w:t>
            </w:r>
          </w:p>
        </w:tc>
        <w:tc>
          <w:tcPr>
            <w:tcW w:w="1180" w:type="dxa"/>
            <w:vAlign w:val="bottom"/>
          </w:tcPr>
          <w:p>
            <w:pPr>
              <w:jc w:val="center"/>
              <w:ind w:left="30"/>
              <w:spacing w:after="0"/>
              <w:rPr>
                <w:sz w:val="20"/>
                <w:szCs w:val="20"/>
                <w:color w:val="auto"/>
              </w:rPr>
            </w:pPr>
            <w:r>
              <w:rPr>
                <w:rFonts w:ascii="Arial" w:cs="Arial" w:eastAsia="Arial" w:hAnsi="Arial"/>
                <w:sz w:val="14"/>
                <w:szCs w:val="14"/>
                <w:color w:val="auto"/>
              </w:rPr>
              <w:t>2018</w:t>
            </w:r>
          </w:p>
        </w:tc>
        <w:tc>
          <w:tcPr>
            <w:tcW w:w="4960" w:type="dxa"/>
            <w:vAlign w:val="bottom"/>
          </w:tcPr>
          <w:p>
            <w:pPr>
              <w:ind w:left="2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29"/>
        </w:trPr>
        <w:tc>
          <w:tcPr>
            <w:tcW w:w="2060" w:type="dxa"/>
            <w:vAlign w:val="bottom"/>
            <w:tcBorders>
              <w:bottom w:val="single" w:sz="8" w:color="D9BA05"/>
            </w:tcBorders>
          </w:tcPr>
          <w:p>
            <w:pPr>
              <w:spacing w:after="0"/>
              <w:rPr>
                <w:sz w:val="2"/>
                <w:szCs w:val="2"/>
                <w:color w:val="auto"/>
              </w:rPr>
            </w:pPr>
          </w:p>
        </w:tc>
        <w:tc>
          <w:tcPr>
            <w:tcW w:w="1200" w:type="dxa"/>
            <w:vAlign w:val="bottom"/>
            <w:tcBorders>
              <w:bottom w:val="single" w:sz="8" w:color="D9BA05"/>
            </w:tcBorders>
          </w:tcPr>
          <w:p>
            <w:pPr>
              <w:spacing w:after="0"/>
              <w:rPr>
                <w:sz w:val="2"/>
                <w:szCs w:val="2"/>
                <w:color w:val="auto"/>
              </w:rPr>
            </w:pPr>
          </w:p>
        </w:tc>
        <w:tc>
          <w:tcPr>
            <w:tcW w:w="1180" w:type="dxa"/>
            <w:vAlign w:val="bottom"/>
            <w:tcBorders>
              <w:bottom w:val="single" w:sz="8" w:color="D9BA05"/>
            </w:tcBorders>
          </w:tcPr>
          <w:p>
            <w:pPr>
              <w:spacing w:after="0"/>
              <w:rPr>
                <w:sz w:val="2"/>
                <w:szCs w:val="2"/>
                <w:color w:val="auto"/>
              </w:rPr>
            </w:pPr>
          </w:p>
        </w:tc>
        <w:tc>
          <w:tcPr>
            <w:tcW w:w="4960" w:type="dxa"/>
            <w:vAlign w:val="bottom"/>
            <w:tcBorders>
              <w:bottom w:val="single" w:sz="8" w:color="D9BA0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Except for Efraim Grinberg and Alex Grinberg, who are brothers, there are no family relationships between any of the Company’s directors. There are no arrangements between any director and any other person pursuant to which any of them was elected a director.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Movado Group, Inc.        7</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right="20"/>
        <w:spacing w:after="0" w:line="296" w:lineRule="auto"/>
        <w:rPr>
          <w:sz w:val="20"/>
          <w:szCs w:val="20"/>
          <w:color w:val="auto"/>
        </w:rPr>
      </w:pPr>
      <w:r>
        <w:rPr>
          <w:rFonts w:ascii="Arial" w:cs="Arial" w:eastAsia="Arial" w:hAnsi="Arial"/>
          <w:sz w:val="32"/>
          <w:szCs w:val="32"/>
          <w:color w:val="D9BA05"/>
        </w:rPr>
        <w:t xml:space="preserve">Peter A. </w:t>
      </w:r>
      <w:r>
        <w:rPr>
          <w:rFonts w:ascii="Arial" w:cs="Arial" w:eastAsia="Arial" w:hAnsi="Arial"/>
          <w:sz w:val="32"/>
          <w:szCs w:val="32"/>
          <w:b w:val="1"/>
          <w:bCs w:val="1"/>
          <w:color w:val="D9BA05"/>
        </w:rPr>
        <w:t>Bridgman</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Director and Audit Committee Chair  |  Age: 74  |  Director since: 2014</w:t>
      </w:r>
    </w:p>
    <w:p>
      <w:pPr>
        <w:spacing w:after="0" w:line="122"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b w:val="1"/>
          <w:bCs w:val="1"/>
          <w:color w:val="D9BA05"/>
        </w:rPr>
        <w:t xml:space="preserve">Peter A. Bridgman </w:t>
      </w:r>
      <w:r>
        <w:rPr>
          <w:rFonts w:ascii="Arial" w:cs="Arial" w:eastAsia="Arial" w:hAnsi="Arial"/>
          <w:sz w:val="16"/>
          <w:szCs w:val="16"/>
          <w:color w:val="000000"/>
        </w:rPr>
        <w:t>served as Senior Vice President and General Auditor at PepsiCo Inc. before his</w:t>
      </w:r>
      <w:r>
        <w:rPr>
          <w:rFonts w:ascii="Arial" w:cs="Arial" w:eastAsia="Arial" w:hAnsi="Arial"/>
          <w:sz w:val="16"/>
          <w:szCs w:val="16"/>
          <w:b w:val="1"/>
          <w:bCs w:val="1"/>
          <w:color w:val="D9BA05"/>
        </w:rPr>
        <w:t xml:space="preserve"> </w:t>
      </w:r>
      <w:r>
        <w:rPr>
          <w:rFonts w:ascii="Arial" w:cs="Arial" w:eastAsia="Arial" w:hAnsi="Arial"/>
          <w:sz w:val="16"/>
          <w:szCs w:val="16"/>
          <w:color w:val="000000"/>
        </w:rPr>
        <w:t>election to the Board of Directors of the Company in February 2014. From 2000 to 2011,</w:t>
      </w:r>
    </w:p>
    <w:p>
      <w:pPr>
        <w:spacing w:after="0" w:line="1" w:lineRule="exact"/>
        <w:rPr>
          <w:sz w:val="20"/>
          <w:szCs w:val="20"/>
          <w:color w:val="auto"/>
        </w:rPr>
      </w:pPr>
    </w:p>
    <w:p>
      <w:pPr>
        <w:spacing w:after="0" w:line="232" w:lineRule="auto"/>
        <w:rPr>
          <w:sz w:val="20"/>
          <w:szCs w:val="20"/>
          <w:color w:val="auto"/>
        </w:rPr>
      </w:pPr>
      <w:r>
        <w:rPr>
          <w:rFonts w:ascii="Arial" w:cs="Arial" w:eastAsia="Arial" w:hAnsi="Arial"/>
          <w:sz w:val="16"/>
          <w:szCs w:val="16"/>
          <w:color w:val="auto"/>
        </w:rPr>
        <w:t>Mr. Bridgman was SVP and Controller at PepsiCo Inc., during which time he led the financial reporting and control functions for the $67 billion global consumer products company, ensuring best practice governance and regulatory compliance around the world. From 1992 to 2000, Mr. Bridgman served as SVP and Controller of Pepsi Bottling Group and from 1985 to 1992, he held positions of increasing responsibility at Pepsi International. Prior to that, Mr. Bridgman spent 12 years at KPMG where he had global client audit responsibilities. Mr. Bridgman served on the board of Alltel Corporation, a $10 billion wireless provider acquired by Verizon in 2009, and Pepsi Bottling Ventures, an $800 million private beverage manufacturer. He received a B.S. in Economics and Accounting from Bristol University in England, and is both a Certified Public Accountant in the United States and a Chartered Accountant in England.</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Mr. Bridgman’s extensive experience in financial reporting and internal control and his background in public accounting qualify him for service on our Board of Directors and provide the Board of Directors with additional expertise in these areas.</w:t>
      </w:r>
    </w:p>
    <w:p>
      <w:pPr>
        <w:spacing w:after="0" w:line="200" w:lineRule="exact"/>
        <w:rPr>
          <w:sz w:val="20"/>
          <w:szCs w:val="20"/>
          <w:color w:val="auto"/>
        </w:rPr>
      </w:pPr>
    </w:p>
    <w:p>
      <w:pPr>
        <w:sectPr>
          <w:pgSz w:w="11900" w:h="16838" w:orient="portrait"/>
          <w:cols w:equalWidth="0" w:num="2">
            <w:col w:w="1540" w:space="620"/>
            <w:col w:w="7240"/>
          </w:cols>
          <w:pgMar w:left="1240" w:top="114" w:right="1259" w:bottom="1440" w:gutter="0" w:footer="0" w:header="0"/>
        </w:sectPr>
      </w:pPr>
    </w:p>
    <w:p>
      <w:pPr>
        <w:spacing w:after="0" w:line="207" w:lineRule="exact"/>
        <w:rPr>
          <w:sz w:val="20"/>
          <w:szCs w:val="20"/>
          <w:color w:val="auto"/>
        </w:rPr>
      </w:pPr>
    </w:p>
    <w:p>
      <w:pPr>
        <w:spacing w:after="0"/>
        <w:rPr>
          <w:sz w:val="20"/>
          <w:szCs w:val="20"/>
          <w:color w:val="auto"/>
        </w:rPr>
      </w:pPr>
      <w:r>
        <w:rPr>
          <w:rFonts w:ascii="Arial" w:cs="Arial" w:eastAsia="Arial" w:hAnsi="Arial"/>
          <w:sz w:val="32"/>
          <w:szCs w:val="32"/>
          <w:color w:val="D9BA05"/>
        </w:rPr>
        <w:t>Alex</w:t>
      </w:r>
    </w:p>
    <w:p>
      <w:pPr>
        <w:spacing w:after="0" w:line="42" w:lineRule="exact"/>
        <w:rPr>
          <w:sz w:val="20"/>
          <w:szCs w:val="20"/>
          <w:color w:val="auto"/>
        </w:rPr>
      </w:pPr>
    </w:p>
    <w:p>
      <w:pPr>
        <w:spacing w:after="0"/>
        <w:rPr>
          <w:sz w:val="20"/>
          <w:szCs w:val="20"/>
          <w:color w:val="auto"/>
        </w:rPr>
      </w:pPr>
      <w:r>
        <w:rPr>
          <w:rFonts w:ascii="Arial" w:cs="Arial" w:eastAsia="Arial" w:hAnsi="Arial"/>
          <w:sz w:val="32"/>
          <w:szCs w:val="32"/>
          <w:b w:val="1"/>
          <w:bCs w:val="1"/>
          <w:color w:val="D9BA05"/>
        </w:rPr>
        <w:t>Grinberg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60"/>
        <w:spacing w:after="0" w:line="296" w:lineRule="auto"/>
        <w:rPr>
          <w:sz w:val="20"/>
          <w:szCs w:val="20"/>
          <w:color w:val="auto"/>
        </w:rPr>
      </w:pPr>
      <w:r>
        <w:rPr>
          <w:rFonts w:ascii="Arial" w:cs="Arial" w:eastAsia="Arial" w:hAnsi="Arial"/>
          <w:sz w:val="32"/>
          <w:szCs w:val="32"/>
          <w:color w:val="D9BA05"/>
        </w:rPr>
        <w:t xml:space="preserve">Efraim </w:t>
      </w:r>
      <w:r>
        <w:rPr>
          <w:rFonts w:ascii="Arial" w:cs="Arial" w:eastAsia="Arial" w:hAnsi="Arial"/>
          <w:sz w:val="32"/>
          <w:szCs w:val="32"/>
          <w:b w:val="1"/>
          <w:bCs w:val="1"/>
          <w:color w:val="D9BA05"/>
        </w:rPr>
        <w:t>Grinberg</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Senior Vice President Customer Experience; Director  |  Age: 63  | </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2011</w:t>
      </w:r>
    </w:p>
    <w:p>
      <w:pPr>
        <w:spacing w:after="0" w:line="104" w:lineRule="exact"/>
        <w:rPr>
          <w:sz w:val="20"/>
          <w:szCs w:val="20"/>
          <w:color w:val="auto"/>
        </w:rPr>
      </w:pPr>
    </w:p>
    <w:p>
      <w:pPr>
        <w:spacing w:after="0" w:line="233" w:lineRule="auto"/>
        <w:rPr>
          <w:sz w:val="20"/>
          <w:szCs w:val="20"/>
          <w:color w:val="auto"/>
        </w:rPr>
      </w:pPr>
      <w:r>
        <w:rPr>
          <w:rFonts w:ascii="Arial" w:cs="Arial" w:eastAsia="Arial" w:hAnsi="Arial"/>
          <w:sz w:val="16"/>
          <w:szCs w:val="16"/>
          <w:b w:val="1"/>
          <w:bCs w:val="1"/>
          <w:color w:val="D9BA05"/>
        </w:rPr>
        <w:t xml:space="preserve">Alex Grinberg </w:t>
      </w:r>
      <w:r>
        <w:rPr>
          <w:rFonts w:ascii="Arial" w:cs="Arial" w:eastAsia="Arial" w:hAnsi="Arial"/>
          <w:sz w:val="16"/>
          <w:szCs w:val="16"/>
          <w:color w:val="000000"/>
        </w:rPr>
        <w:t>joined the Company in December 1994 as a territory manager for the Movado brand</w:t>
      </w:r>
      <w:r>
        <w:rPr>
          <w:rFonts w:ascii="Arial" w:cs="Arial" w:eastAsia="Arial" w:hAnsi="Arial"/>
          <w:sz w:val="16"/>
          <w:szCs w:val="16"/>
          <w:b w:val="1"/>
          <w:bCs w:val="1"/>
          <w:color w:val="D9BA05"/>
        </w:rPr>
        <w:t xml:space="preserve"> </w:t>
      </w:r>
      <w:r>
        <w:rPr>
          <w:rFonts w:ascii="Arial" w:cs="Arial" w:eastAsia="Arial" w:hAnsi="Arial"/>
          <w:sz w:val="16"/>
          <w:szCs w:val="16"/>
          <w:color w:val="000000"/>
        </w:rPr>
        <w:t>and was promoted to Vice President of International Sales for the Concord brand in June 1996. From February 1999 through October 2001 he was stationed in Asia, developing Movado Group brands in Hong Kong and Japan. Beginning in November 2001 he held a number of positions of increasing responsibility within the Concord brand in the United States until November 2010, when he was appointed Senior Vice President of Customer/Consumer Centric Initiatives. In 2020, Mr. Grinberg was appointed Senior Vice President of Customer Experience with responsibility for developing and implementing strategies to improve customer experience and recommending best practices to ensure that Company decisions align with our customers’ needs.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Mr. A. Grinberg’s many years with the Company, during which time he has held a number of positions in sales and brand management, and his international experience, make him well qualified for service on the Board of Directors.</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Chair of the Board of Directors and Chief Executive Officer; Director  |  Age: 68  | </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1988</w:t>
      </w:r>
    </w:p>
    <w:p>
      <w:pPr>
        <w:spacing w:after="0" w:line="104"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b w:val="1"/>
          <w:bCs w:val="1"/>
          <w:color w:val="D9BA05"/>
        </w:rPr>
        <w:t xml:space="preserve">Efraim Grinberg </w:t>
      </w:r>
      <w:r>
        <w:rPr>
          <w:rFonts w:ascii="Arial" w:cs="Arial" w:eastAsia="Arial" w:hAnsi="Arial"/>
          <w:sz w:val="16"/>
          <w:szCs w:val="16"/>
          <w:color w:val="000000"/>
        </w:rPr>
        <w:t>has served as Chair of the Board of Directors and the Company’s Chief Executive</w:t>
      </w:r>
      <w:r>
        <w:rPr>
          <w:rFonts w:ascii="Arial" w:cs="Arial" w:eastAsia="Arial" w:hAnsi="Arial"/>
          <w:sz w:val="16"/>
          <w:szCs w:val="16"/>
          <w:b w:val="1"/>
          <w:bCs w:val="1"/>
          <w:color w:val="D9BA05"/>
        </w:rPr>
        <w:t xml:space="preserve"> </w:t>
      </w:r>
      <w:r>
        <w:rPr>
          <w:rFonts w:ascii="Arial" w:cs="Arial" w:eastAsia="Arial" w:hAnsi="Arial"/>
          <w:sz w:val="16"/>
          <w:szCs w:val="16"/>
          <w:color w:val="000000"/>
        </w:rPr>
        <w:t>Officer since 2009. Mr. E. Grinberg’s more than three decades of experience in the watch industry and in a variety of positions at the Company during this period of its growth provides him with extensive knowledge of the Company’s brands, markets, competitors, customers and other aspects</w:t>
      </w:r>
    </w:p>
    <w:p>
      <w:pPr>
        <w:spacing w:after="0" w:line="2" w:lineRule="exact"/>
        <w:rPr>
          <w:sz w:val="20"/>
          <w:szCs w:val="20"/>
          <w:color w:val="auto"/>
        </w:rPr>
      </w:pPr>
    </w:p>
    <w:p>
      <w:pPr>
        <w:ind w:right="240"/>
        <w:spacing w:after="0"/>
        <w:rPr>
          <w:sz w:val="20"/>
          <w:szCs w:val="20"/>
          <w:color w:val="auto"/>
        </w:rPr>
      </w:pPr>
      <w:r>
        <w:rPr>
          <w:rFonts w:ascii="Arial" w:cs="Arial" w:eastAsia="Arial" w:hAnsi="Arial"/>
          <w:sz w:val="15"/>
          <w:szCs w:val="15"/>
          <w:color w:val="auto"/>
        </w:rPr>
        <w:t>of its business and the industry as a whole and qualifies him for service on the Board of Directors.  </w:t>
      </w:r>
    </w:p>
    <w:p>
      <w:pPr>
        <w:spacing w:after="0" w:line="98" w:lineRule="exact"/>
        <w:rPr>
          <w:sz w:val="20"/>
          <w:szCs w:val="20"/>
          <w:color w:val="auto"/>
        </w:rPr>
      </w:pPr>
    </w:p>
    <w:p>
      <w:pPr>
        <w:ind w:right="640"/>
        <w:spacing w:after="0" w:line="265" w:lineRule="auto"/>
        <w:rPr>
          <w:sz w:val="20"/>
          <w:szCs w:val="20"/>
          <w:color w:val="auto"/>
        </w:rPr>
      </w:pPr>
      <w:r>
        <w:rPr>
          <w:rFonts w:ascii="Arial" w:cs="Arial" w:eastAsia="Arial" w:hAnsi="Arial"/>
          <w:sz w:val="16"/>
          <w:szCs w:val="16"/>
          <w:color w:val="auto"/>
        </w:rPr>
        <w:t>Additional biographical information regarding Mr. E. Grinberg can be found under “Executive Officers,” below.</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Movado Group, Inc.        8</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-1881505</wp:posOffset>
            </wp:positionH>
            <wp:positionV relativeFrom="paragraph">
              <wp:posOffset>113665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440" w:space="720"/>
            <w:col w:w="7240"/>
          </w:cols>
          <w:pgMar w:left="1240" w:top="114" w:right="125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right="340"/>
        <w:spacing w:after="0" w:line="296" w:lineRule="auto"/>
        <w:rPr>
          <w:sz w:val="20"/>
          <w:szCs w:val="20"/>
          <w:color w:val="auto"/>
        </w:rPr>
      </w:pPr>
      <w:r>
        <w:rPr>
          <w:rFonts w:ascii="Arial" w:cs="Arial" w:eastAsia="Arial" w:hAnsi="Arial"/>
          <w:sz w:val="32"/>
          <w:szCs w:val="32"/>
          <w:color w:val="D9BA05"/>
        </w:rPr>
        <w:t xml:space="preserve">Alan </w:t>
      </w:r>
      <w:r>
        <w:rPr>
          <w:rFonts w:ascii="Arial" w:cs="Arial" w:eastAsia="Arial" w:hAnsi="Arial"/>
          <w:sz w:val="32"/>
          <w:szCs w:val="32"/>
          <w:b w:val="1"/>
          <w:bCs w:val="1"/>
          <w:color w:val="D9BA05"/>
        </w:rPr>
        <w:t>Howard</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Lead Director and Compensation and Human Capital Committee Chair  |  Age: 66  | </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Director since: 1997</w:t>
      </w:r>
    </w:p>
    <w:p>
      <w:pPr>
        <w:spacing w:after="0" w:line="104" w:lineRule="exact"/>
        <w:rPr>
          <w:sz w:val="20"/>
          <w:szCs w:val="20"/>
          <w:color w:val="auto"/>
        </w:rPr>
      </w:pPr>
    </w:p>
    <w:p>
      <w:pPr>
        <w:spacing w:after="0" w:line="241" w:lineRule="auto"/>
        <w:rPr>
          <w:sz w:val="20"/>
          <w:szCs w:val="20"/>
          <w:color w:val="auto"/>
        </w:rPr>
      </w:pPr>
      <w:r>
        <w:rPr>
          <w:rFonts w:ascii="Arial" w:cs="Arial" w:eastAsia="Arial" w:hAnsi="Arial"/>
          <w:sz w:val="16"/>
          <w:szCs w:val="16"/>
          <w:b w:val="1"/>
          <w:bCs w:val="1"/>
          <w:color w:val="D9BA05"/>
        </w:rPr>
        <w:t xml:space="preserve">Alan Howard </w:t>
      </w:r>
      <w:r>
        <w:rPr>
          <w:rFonts w:ascii="Arial" w:cs="Arial" w:eastAsia="Arial" w:hAnsi="Arial"/>
          <w:sz w:val="16"/>
          <w:szCs w:val="16"/>
          <w:color w:val="000000"/>
        </w:rPr>
        <w:t>is the Managing Partner of Heathcote Advisors LLC, which he formed in March 2008</w:t>
      </w:r>
      <w:r>
        <w:rPr>
          <w:rFonts w:ascii="Arial" w:cs="Arial" w:eastAsia="Arial" w:hAnsi="Arial"/>
          <w:sz w:val="16"/>
          <w:szCs w:val="16"/>
          <w:b w:val="1"/>
          <w:bCs w:val="1"/>
          <w:color w:val="D9BA05"/>
        </w:rPr>
        <w:t xml:space="preserve"> </w:t>
      </w:r>
      <w:r>
        <w:rPr>
          <w:rFonts w:ascii="Arial" w:cs="Arial" w:eastAsia="Arial" w:hAnsi="Arial"/>
          <w:sz w:val="16"/>
          <w:szCs w:val="16"/>
          <w:color w:val="000000"/>
        </w:rPr>
        <w:t>and which provides financial advisory services as well as makes principal investments. Since February 2025, Mr. Howard has also served as senior advisor at LSH Partners Securities LLC, a boutique investment bank based in New York City. Since June 2025, Mr. Howard has also served as an Advisor to the CEO and Board of Persado Inc. Since April 2022, Mr. Howard has served on the board of directors of New England Expert Technologies, Inc., a privately held company that manufactures complicated, close tolerance parts and assemblies, where he was named Chair of the Board in 2025. Since April 2018, Mr. Howard has served on one of the group boards of directors of the BNY Mellon Family of Funds (formerly The Dreyfus Family of Funds) for a number of equity, fixed income and derivative funds managed by investment advisor BNY Mellon Investments, where he also serves as chair of the audit committee and a member of the joint fund governance advisory committee. Since August 2024, Mr. Howard has also served on the board of directors and as chair of the audit committee of Siddhi Acquisition Corp (NASDAQ: SDHI), a special purpose acquisition company. From March 2020 through April 2021, Mr. Howard also served on the board of directors of Diamond Offshore Drilling (NYSE: DO), a global provider of contract drilling services to the energy industry, where he also served as Lead Director and chair of the audit committee as well as a member of the executive and finance committees. From 2012 through 2019, Mr. Howard was a member of the board of directors of Dynatech/MPX Holdings LLC, a global supplier and service provider of U.S. military aircraft parts, and served as Chief Executive Officer of Dynatech International LLC and later Vice Chairman. Mr. Howard worked in private equity and advised hedge funds and asset managers during the financial crisis of 2008 through 2010. From June 2006 through July 2007, Mr. Howard was a Managing Director of Greenbriar Equity Group LLC, a private equity firm. Prior to June 2006, Mr. Howard was a Managing Director of Credit Suisse First Boston LLC, an international financial services firm which he joined in 1986.</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800"/>
        <w:spacing w:after="0" w:line="265" w:lineRule="auto"/>
        <w:rPr>
          <w:sz w:val="20"/>
          <w:szCs w:val="20"/>
          <w:color w:val="auto"/>
        </w:rPr>
      </w:pPr>
      <w:r>
        <w:rPr>
          <w:rFonts w:ascii="Arial" w:cs="Arial" w:eastAsia="Arial" w:hAnsi="Arial"/>
          <w:sz w:val="16"/>
          <w:szCs w:val="16"/>
          <w:color w:val="auto"/>
        </w:rPr>
        <w:t>Mr. Howard’s broad experience in corporate governance, organizational management and investment banking make him well qualified for service on the Board of Directors.</w:t>
      </w:r>
    </w:p>
    <w:p>
      <w:pPr>
        <w:spacing w:after="0" w:line="200" w:lineRule="exact"/>
        <w:rPr>
          <w:sz w:val="20"/>
          <w:szCs w:val="20"/>
          <w:color w:val="auto"/>
        </w:rPr>
      </w:pPr>
    </w:p>
    <w:p>
      <w:pPr>
        <w:sectPr>
          <w:pgSz w:w="11900" w:h="16838" w:orient="portrait"/>
          <w:cols w:equalWidth="0" w:num="2">
            <w:col w:w="1540" w:space="620"/>
            <w:col w:w="7240"/>
          </w:cols>
          <w:pgMar w:left="1240" w:top="114" w:right="1259" w:bottom="1440" w:gutter="0" w:footer="0" w:header="0"/>
        </w:sectPr>
      </w:pPr>
    </w:p>
    <w:p>
      <w:pPr>
        <w:spacing w:after="0" w:line="201" w:lineRule="exact"/>
        <w:rPr>
          <w:sz w:val="20"/>
          <w:szCs w:val="20"/>
          <w:color w:val="auto"/>
        </w:rPr>
      </w:pPr>
    </w:p>
    <w:p>
      <w:pPr>
        <w:ind w:right="20"/>
        <w:spacing w:after="0" w:line="296" w:lineRule="auto"/>
        <w:rPr>
          <w:sz w:val="20"/>
          <w:szCs w:val="20"/>
          <w:color w:val="auto"/>
        </w:rPr>
      </w:pPr>
      <w:r>
        <w:rPr>
          <w:rFonts w:ascii="Arial" w:cs="Arial" w:eastAsia="Arial" w:hAnsi="Arial"/>
          <w:sz w:val="32"/>
          <w:szCs w:val="32"/>
          <w:color w:val="D9BA05"/>
        </w:rPr>
        <w:t xml:space="preserve">Richard </w:t>
      </w:r>
      <w:r>
        <w:rPr>
          <w:rFonts w:ascii="Arial" w:cs="Arial" w:eastAsia="Arial" w:hAnsi="Arial"/>
          <w:sz w:val="32"/>
          <w:szCs w:val="32"/>
          <w:b w:val="1"/>
          <w:bCs w:val="1"/>
          <w:color w:val="D9BA05"/>
        </w:rPr>
        <w:t>Isserman</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Director  |  Age: 91  |  Director since: 2005</w:t>
      </w:r>
    </w:p>
    <w:p>
      <w:pPr>
        <w:spacing w:after="0" w:line="122" w:lineRule="exact"/>
        <w:rPr>
          <w:sz w:val="20"/>
          <w:szCs w:val="20"/>
          <w:color w:val="auto"/>
        </w:rPr>
      </w:pPr>
    </w:p>
    <w:p>
      <w:pPr>
        <w:jc w:val="both"/>
        <w:ind w:right="60"/>
        <w:spacing w:after="0" w:line="206" w:lineRule="auto"/>
        <w:rPr>
          <w:sz w:val="20"/>
          <w:szCs w:val="20"/>
          <w:color w:val="auto"/>
        </w:rPr>
      </w:pPr>
      <w:r>
        <w:rPr>
          <w:rFonts w:ascii="Arial" w:cs="Arial" w:eastAsia="Arial" w:hAnsi="Arial"/>
          <w:sz w:val="16"/>
          <w:szCs w:val="16"/>
          <w:b w:val="1"/>
          <w:bCs w:val="1"/>
          <w:color w:val="D9BA05"/>
        </w:rPr>
        <w:t xml:space="preserve">Richard Isserman </w:t>
      </w:r>
      <w:r>
        <w:rPr>
          <w:rFonts w:ascii="Arial" w:cs="Arial" w:eastAsia="Arial" w:hAnsi="Arial"/>
          <w:sz w:val="16"/>
          <w:szCs w:val="16"/>
          <w:color w:val="000000"/>
        </w:rPr>
        <w:t>had a distinguished career of nearly 40 years with KPMG LLP and, for 26 years,</w:t>
      </w:r>
      <w:r>
        <w:rPr>
          <w:rFonts w:ascii="Arial" w:cs="Arial" w:eastAsia="Arial" w:hAnsi="Arial"/>
          <w:sz w:val="16"/>
          <w:szCs w:val="16"/>
          <w:b w:val="1"/>
          <w:bCs w:val="1"/>
          <w:color w:val="D9BA05"/>
        </w:rPr>
        <w:t xml:space="preserve"> </w:t>
      </w:r>
      <w:r>
        <w:rPr>
          <w:rFonts w:ascii="Arial" w:cs="Arial" w:eastAsia="Arial" w:hAnsi="Arial"/>
          <w:sz w:val="16"/>
          <w:szCs w:val="16"/>
          <w:color w:val="000000"/>
        </w:rPr>
        <w:t>served as Audit Partner in KPMG’s New York office. He also led KPMG’s real estate audit practice in New York and was a member of the firm’s SEC Reviewing Partner’s Committee.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jc w:val="both"/>
        <w:ind w:right="120"/>
        <w:spacing w:after="0" w:line="252" w:lineRule="auto"/>
        <w:rPr>
          <w:sz w:val="20"/>
          <w:szCs w:val="20"/>
          <w:color w:val="auto"/>
        </w:rPr>
      </w:pPr>
      <w:r>
        <w:rPr>
          <w:rFonts w:ascii="Arial" w:cs="Arial" w:eastAsia="Arial" w:hAnsi="Arial"/>
          <w:sz w:val="16"/>
          <w:szCs w:val="16"/>
          <w:color w:val="auto"/>
        </w:rPr>
        <w:t>Mr. Isserman retired from KPMG in June 1995. He is a licensed New York State CPA. Based on his years of demonstrated leadership in the field of public accounting, Mr. Isserman provides our Board of Directors with in-depth knowledge and experience in financial, accounting and risk management issues.</w:t>
      </w:r>
    </w:p>
    <w:p>
      <w:pPr>
        <w:spacing w:after="0" w:line="200" w:lineRule="exact"/>
        <w:rPr>
          <w:sz w:val="20"/>
          <w:szCs w:val="20"/>
          <w:color w:val="auto"/>
        </w:rPr>
      </w:pPr>
    </w:p>
    <w:p>
      <w:pPr>
        <w:sectPr>
          <w:pgSz w:w="11900" w:h="16838" w:orient="portrait"/>
          <w:cols w:equalWidth="0" w:num="2">
            <w:col w:w="1440" w:space="720"/>
            <w:col w:w="7240"/>
          </w:cols>
          <w:pgMar w:left="1240" w:top="114" w:right="125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Arial" w:cs="Arial" w:eastAsia="Arial" w:hAnsi="Arial"/>
          <w:sz w:val="32"/>
          <w:szCs w:val="32"/>
          <w:color w:val="D9BA05"/>
        </w:rPr>
        <w:t>Ann</w:t>
      </w:r>
    </w:p>
    <w:p>
      <w:pPr>
        <w:spacing w:after="0" w:line="42" w:lineRule="exact"/>
        <w:rPr>
          <w:sz w:val="20"/>
          <w:szCs w:val="20"/>
          <w:color w:val="auto"/>
        </w:rPr>
      </w:pPr>
    </w:p>
    <w:p>
      <w:pPr>
        <w:spacing w:after="0"/>
        <w:rPr>
          <w:sz w:val="20"/>
          <w:szCs w:val="20"/>
          <w:color w:val="auto"/>
        </w:rPr>
      </w:pPr>
      <w:r>
        <w:rPr>
          <w:rFonts w:ascii="Arial" w:cs="Arial" w:eastAsia="Arial" w:hAnsi="Arial"/>
          <w:sz w:val="32"/>
          <w:szCs w:val="32"/>
          <w:b w:val="1"/>
          <w:bCs w:val="1"/>
          <w:color w:val="D9BA05"/>
        </w:rPr>
        <w:t>Kirschner</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Director and Nominating, Governance and Corporate Responsibility Committee Chair  | Age: 75  |  Director since: 2019</w:t>
      </w:r>
    </w:p>
    <w:p>
      <w:pPr>
        <w:spacing w:after="0" w:line="64"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b w:val="1"/>
          <w:bCs w:val="1"/>
          <w:color w:val="D9BA05"/>
        </w:rPr>
        <w:t xml:space="preserve">Ann Kirschner </w:t>
      </w:r>
      <w:r>
        <w:rPr>
          <w:rFonts w:ascii="Arial" w:cs="Arial" w:eastAsia="Arial" w:hAnsi="Arial"/>
          <w:sz w:val="16"/>
          <w:szCs w:val="16"/>
          <w:color w:val="000000"/>
        </w:rPr>
        <w:t>is an educator, consultant, and writer. Since 2006 she has been associated with The</w:t>
      </w:r>
      <w:r>
        <w:rPr>
          <w:rFonts w:ascii="Arial" w:cs="Arial" w:eastAsia="Arial" w:hAnsi="Arial"/>
          <w:sz w:val="16"/>
          <w:szCs w:val="16"/>
          <w:b w:val="1"/>
          <w:bCs w:val="1"/>
          <w:color w:val="D9BA05"/>
        </w:rPr>
        <w:t xml:space="preserve"> </w:t>
      </w:r>
      <w:r>
        <w:rPr>
          <w:rFonts w:ascii="Arial" w:cs="Arial" w:eastAsia="Arial" w:hAnsi="Arial"/>
          <w:sz w:val="16"/>
          <w:szCs w:val="16"/>
          <w:color w:val="000000"/>
        </w:rPr>
        <w:t>City University of New York, where she currently serves as university professor, having previously served as interim president of Hunter College, Dean of Macaulay Honors College, and Strategic Advisor to the Chancellor. Ms. Kirschner is also President and Founder of Comma Communications, which provides advisory services for institutions and organizations focused on innovation in media, technology, and education. A pioneer in digital technology and media and a veteran of four start-ups in cable, satellite, and online, she was the first digital strategist for the National Football League, where she launched NFL.COM and NFL SUNDAY TICKET. Ms. Kirschner is Senior Advisor to the Presidents of Arizona State University (ASU) and the University of California. She serves on the board of Strategic Cyber Ventures and on the management committee of Arizona State University’s EdPlus and Learning Enterprise. She is a trustee of the Paul and Daisy Soros Foundation and NYC</w:t>
      </w:r>
    </w:p>
    <w:p>
      <w:pPr>
        <w:spacing w:after="0" w:line="4" w:lineRule="exact"/>
        <w:rPr>
          <w:sz w:val="20"/>
          <w:szCs w:val="20"/>
          <w:color w:val="auto"/>
        </w:rPr>
      </w:pPr>
    </w:p>
    <w:p>
      <w:pPr>
        <w:ind w:right="300"/>
        <w:spacing w:after="0"/>
        <w:rPr>
          <w:sz w:val="20"/>
          <w:szCs w:val="20"/>
          <w:color w:val="auto"/>
        </w:rPr>
      </w:pPr>
      <w:r>
        <w:rPr>
          <w:rFonts w:ascii="Arial" w:cs="Arial" w:eastAsia="Arial" w:hAnsi="Arial"/>
          <w:sz w:val="15"/>
          <w:szCs w:val="15"/>
          <w:color w:val="auto"/>
        </w:rPr>
        <w:t>FIRST; a member of the advisory board of ShortTok; and a former trustee of Princeton University.  </w:t>
      </w:r>
    </w:p>
    <w:p>
      <w:pPr>
        <w:spacing w:after="0" w:line="9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Ms. Kirschner’s extensive experience in education and digital technology adds an important perspective to the Board as the Company continues to invest in online marketing and technology and makes her well qualified for service on the Board of Directors.</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3"/>
          <w:szCs w:val="13"/>
          <w:b w:val="1"/>
          <w:bCs w:val="1"/>
          <w:color w:val="auto"/>
        </w:rPr>
        <w:t>Movado Group, Inc.        9</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-1881505</wp:posOffset>
            </wp:positionH>
            <wp:positionV relativeFrom="paragraph">
              <wp:posOffset>113665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520" w:space="640"/>
            <w:col w:w="7240"/>
          </w:cols>
          <w:pgMar w:left="1240" w:top="114" w:right="12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right="140"/>
        <w:spacing w:after="0" w:line="296" w:lineRule="auto"/>
        <w:rPr>
          <w:sz w:val="20"/>
          <w:szCs w:val="20"/>
          <w:color w:val="auto"/>
        </w:rPr>
      </w:pPr>
      <w:r>
        <w:rPr>
          <w:rFonts w:ascii="Arial" w:cs="Arial" w:eastAsia="Arial" w:hAnsi="Arial"/>
          <w:sz w:val="32"/>
          <w:szCs w:val="32"/>
          <w:color w:val="D9BA05"/>
        </w:rPr>
        <w:t xml:space="preserve">Maya </w:t>
      </w:r>
      <w:r>
        <w:rPr>
          <w:rFonts w:ascii="Arial" w:cs="Arial" w:eastAsia="Arial" w:hAnsi="Arial"/>
          <w:sz w:val="32"/>
          <w:szCs w:val="32"/>
          <w:b w:val="1"/>
          <w:bCs w:val="1"/>
          <w:color w:val="D9BA05"/>
        </w:rPr>
        <w:t>Peterson</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Director  |  Age: 46  |  Director since: 2022</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D9BA05"/>
        </w:rPr>
        <w:t xml:space="preserve">Maya Peterson </w:t>
      </w:r>
      <w:r>
        <w:rPr>
          <w:rFonts w:ascii="Arial" w:cs="Arial" w:eastAsia="Arial" w:hAnsi="Arial"/>
          <w:sz w:val="16"/>
          <w:szCs w:val="16"/>
          <w:color w:val="000000"/>
        </w:rPr>
        <w:t>is a strategist and cultural advisor with over two decades of experience helping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brands, civic organizations, and public figures navigate culture, storytelling, and audience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engagement. Her work sits at the intersection of media, creators, and civic participation, where she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designs strategies that translate cultural influence into real-world action. Following senior leadership</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roles at Universal Music Group (where she served as Vice President of Insights &amp; Strategy from</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2020-2024) and ViacomCBS, Ms. Peterson now advises a range of organizations across the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nonprofit and private sectors. Her recent work includes national civic and cultural initiatives such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The Stories of Us</w:t>
      </w:r>
      <w:r>
        <w:rPr>
          <w:rFonts w:ascii="Arial" w:cs="Arial" w:eastAsia="Arial" w:hAnsi="Arial"/>
          <w:sz w:val="16"/>
          <w:szCs w:val="16"/>
          <w:color w:val="auto"/>
        </w:rPr>
        <w:t>, Rock the Vote, and broader work supporting artist- and creator-led engagement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efforts.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Ms. Peterson brings to the Board deep expertise in cultural strategy, audience engagement, and the evolving role of creators and media in shaping behavior.</w:t>
      </w:r>
    </w:p>
    <w:p>
      <w:pPr>
        <w:spacing w:after="0" w:line="200" w:lineRule="exact"/>
        <w:rPr>
          <w:sz w:val="20"/>
          <w:szCs w:val="20"/>
          <w:color w:val="auto"/>
        </w:rPr>
      </w:pPr>
    </w:p>
    <w:p>
      <w:pPr>
        <w:sectPr>
          <w:pgSz w:w="11900" w:h="16838" w:orient="portrait"/>
          <w:cols w:equalWidth="0" w:num="2">
            <w:col w:w="1540" w:space="620"/>
            <w:col w:w="7200"/>
          </w:cols>
          <w:pgMar w:left="1240" w:top="114" w:right="129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32"/>
          <w:szCs w:val="32"/>
          <w:color w:val="D9BA05"/>
        </w:rPr>
        <w:t>Stephen</w:t>
      </w:r>
    </w:p>
    <w:p>
      <w:pPr>
        <w:spacing w:after="0" w:line="42" w:lineRule="exact"/>
        <w:rPr>
          <w:sz w:val="20"/>
          <w:szCs w:val="20"/>
          <w:color w:val="auto"/>
        </w:rPr>
      </w:pPr>
    </w:p>
    <w:p>
      <w:pPr>
        <w:spacing w:after="0"/>
        <w:rPr>
          <w:sz w:val="20"/>
          <w:szCs w:val="20"/>
          <w:color w:val="auto"/>
        </w:rPr>
      </w:pPr>
      <w:r>
        <w:rPr>
          <w:rFonts w:ascii="Arial" w:cs="Arial" w:eastAsia="Arial" w:hAnsi="Arial"/>
          <w:sz w:val="32"/>
          <w:szCs w:val="32"/>
          <w:b w:val="1"/>
          <w:bCs w:val="1"/>
          <w:color w:val="D9BA05"/>
        </w:rPr>
        <w:t>Sadove</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Director  |  Age: 74  |  Director since: 2018</w:t>
      </w:r>
    </w:p>
    <w:p>
      <w:pPr>
        <w:spacing w:after="0" w:line="122" w:lineRule="exact"/>
        <w:rPr>
          <w:sz w:val="20"/>
          <w:szCs w:val="20"/>
          <w:color w:val="auto"/>
        </w:rPr>
      </w:pPr>
    </w:p>
    <w:p>
      <w:pPr>
        <w:spacing w:after="0" w:line="237" w:lineRule="auto"/>
        <w:rPr>
          <w:sz w:val="20"/>
          <w:szCs w:val="20"/>
          <w:color w:val="auto"/>
        </w:rPr>
      </w:pPr>
      <w:r>
        <w:rPr>
          <w:rFonts w:ascii="Arial" w:cs="Arial" w:eastAsia="Arial" w:hAnsi="Arial"/>
          <w:sz w:val="16"/>
          <w:szCs w:val="16"/>
          <w:b w:val="1"/>
          <w:bCs w:val="1"/>
          <w:color w:val="D9BA05"/>
        </w:rPr>
        <w:t xml:space="preserve">Stephen Sadove </w:t>
      </w:r>
      <w:r>
        <w:rPr>
          <w:rFonts w:ascii="Arial" w:cs="Arial" w:eastAsia="Arial" w:hAnsi="Arial"/>
          <w:sz w:val="16"/>
          <w:szCs w:val="16"/>
          <w:color w:val="000000"/>
        </w:rPr>
        <w:t>has served as a founding partner of JW Levin Management Partners LLC, a</w:t>
      </w:r>
      <w:r>
        <w:rPr>
          <w:rFonts w:ascii="Arial" w:cs="Arial" w:eastAsia="Arial" w:hAnsi="Arial"/>
          <w:sz w:val="16"/>
          <w:szCs w:val="16"/>
          <w:b w:val="1"/>
          <w:bCs w:val="1"/>
          <w:color w:val="D9BA05"/>
        </w:rPr>
        <w:t xml:space="preserve"> </w:t>
      </w:r>
      <w:r>
        <w:rPr>
          <w:rFonts w:ascii="Arial" w:cs="Arial" w:eastAsia="Arial" w:hAnsi="Arial"/>
          <w:sz w:val="16"/>
          <w:szCs w:val="16"/>
          <w:color w:val="000000"/>
        </w:rPr>
        <w:t>private management and investment firm, since 2015. Mr. Sadove has also served since 2014 as principal of Stephen Sadove and Associates, which provides consulting services to retail and non-retail clients. From 2007 until 2013, Mr. Sadove served as Chair and Chief Executive Officer of Saks Incorporated, having previously served Saks in the roles of Vice Chair, Chief Operating Officer and Chief Executive Officer. Prior to his tenure with Saks, Mr. Sadove served Bristol-Myers Squibb Company (NYSE: BMY) from 1991 until 2001, most recently as Senior Vice President of Bristol-Myers Squibb and President, Worldwide Beauty Care. Mr. Sadove currently serves on the board of directors of Aramark (NYSE: ARMK), where he serves as Chair of the Board, and Park Hotels and Resorts Inc. (NYSE: PK), where he serves as the Lead Independent Director. Mr. Sadove previously served on the board of directors of Colgate-Palmolive Company (NYSE: CL), J.C. Penney Company, Inc. (NYSE: JCP) and Ruby Tuesday, Inc. (NYSE: RT). He currently serves as Chairman Emeritus of the board of trustees of Hamilton College.</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Mr. Sadove’s operations and leadership expertise, extensive marketing experience at retail and consumer-products companies, and significant public company directorship experience make him well qualified to serve on the Board of Directors.</w:t>
      </w:r>
    </w:p>
    <w:p>
      <w:pPr>
        <w:spacing w:after="0" w:line="174"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Movado Group, Inc.        10</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-1881505</wp:posOffset>
            </wp:positionH>
            <wp:positionV relativeFrom="paragraph">
              <wp:posOffset>113665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440" w:space="720"/>
            <w:col w:w="7200"/>
          </w:cols>
          <w:pgMar w:left="1240" w:top="114" w:right="12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ind w:right="2900"/>
        <w:spacing w:after="0" w:line="292" w:lineRule="auto"/>
        <w:rPr>
          <w:sz w:val="20"/>
          <w:szCs w:val="20"/>
          <w:color w:val="auto"/>
        </w:rPr>
      </w:pPr>
      <w:r>
        <w:rPr>
          <w:rFonts w:ascii="Arial" w:cs="Arial" w:eastAsia="Arial" w:hAnsi="Arial"/>
          <w:sz w:val="50"/>
          <w:szCs w:val="50"/>
          <w:b w:val="1"/>
          <w:bCs w:val="1"/>
          <w:color w:val="D9BA05"/>
        </w:rPr>
        <w:t>The Board of Directors and 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-85090</wp:posOffset>
            </wp:positionV>
            <wp:extent cx="59664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 LEADERSHIP STRUCTURE</w:t>
      </w:r>
    </w:p>
    <w:p>
      <w:pPr>
        <w:spacing w:after="0" w:line="73"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Mr. Efraim Grinberg, the Chief Executive Officer and a sitting member of the Board of Directors, is also Chair of the Board. In making the decision to combine the positions of the Chair and Chief Executive Officer in 2009, the Board of Directors took into consideration Mr. E. Grinberg’s almost 30 years of management, financial and administrative leadership at the Company and his extensive knowledge of, and experience with, other aspects of the Company’s business.</w:t>
      </w:r>
    </w:p>
    <w:p>
      <w:pPr>
        <w:spacing w:after="0" w:line="124"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order to follow strong governance practices, in 2011 the Board of Directors appointed Mr. Howard as the lead director to help coordinate the activities of the other independent directors and to perform such other duties and responsibilities as the Board of Directors may determine from time to time. Mr. Howard also chairs the Compensation and Human Capital Committee. The primary duties of the lead director include providing advice on agendas for, and the scheduling of, Board of Directors meetings, advising the Chair as to the quality, quantity and timeliness of the information submitted by the Company’s management to the Board of Directors, serving as the principal liaison for consultation and communication between the independent directors of the Board of Directors and the Chair, without inhibiting direct communication between the Chair and the other directors, and presiding at meetings of the Board of Directors in the absence of, or upon the request of, the Chair and presiding at all meetings of the independent directors.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composition of the Board of Directors, the tenure of the directors with the Company, the overall experience of the directors and the experience that the directors have had with the Chair, the lead director and the executive management group permit and encourage each member to take an active role in all discussions, and each member actively participates in all substantive discussions. We believe that our current Board of Directors’ leadership structure is serving the Company well at this time.</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 MEETINGS AND COMMITTEES</w:t>
      </w:r>
    </w:p>
    <w:p>
      <w:pPr>
        <w:spacing w:after="0" w:line="7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In fiscal 2026, the Board of Directors held eleven meetings. All directors attended in excess of 75% of the meetings of the Board of Directors and of the committees on which they served.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has three committees:</w:t>
      </w:r>
    </w:p>
    <w:p>
      <w:pPr>
        <w:spacing w:after="0" w:line="167" w:lineRule="exact"/>
        <w:rPr>
          <w:sz w:val="20"/>
          <w:szCs w:val="20"/>
          <w:color w:val="auto"/>
        </w:rPr>
      </w:pPr>
    </w:p>
    <w:p>
      <w:pPr>
        <w:ind w:left="660" w:hanging="330"/>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Audit;</w:t>
      </w:r>
    </w:p>
    <w:p>
      <w:pPr>
        <w:spacing w:after="0" w:line="167" w:lineRule="exact"/>
        <w:rPr>
          <w:rFonts w:ascii="Arial" w:cs="Arial" w:eastAsia="Arial" w:hAnsi="Arial"/>
          <w:sz w:val="16"/>
          <w:szCs w:val="16"/>
          <w:color w:val="auto"/>
        </w:rPr>
      </w:pPr>
    </w:p>
    <w:p>
      <w:pPr>
        <w:ind w:left="660" w:hanging="330"/>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Compensation and Human Capital; and</w:t>
      </w:r>
    </w:p>
    <w:p>
      <w:pPr>
        <w:spacing w:after="0" w:line="167" w:lineRule="exact"/>
        <w:rPr>
          <w:rFonts w:ascii="Arial" w:cs="Arial" w:eastAsia="Arial" w:hAnsi="Arial"/>
          <w:sz w:val="16"/>
          <w:szCs w:val="16"/>
          <w:color w:val="auto"/>
        </w:rPr>
      </w:pPr>
    </w:p>
    <w:p>
      <w:pPr>
        <w:ind w:left="660" w:hanging="330"/>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Nominating, Governance and Corporate Responsibility.</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Movado Group, Inc.        11</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The members of the committees and their chairs are appointed by the Board of Directors annually. Each committee is comprised entirely of independent directors in accordance with NYSE listing standards. Each committee operates under a written charter which is available at the Company’s website at www.movadogroup.com by clicking on “</w:t>
      </w:r>
      <w:r>
        <w:rPr>
          <w:rFonts w:ascii="Arial" w:cs="Arial" w:eastAsia="Arial" w:hAnsi="Arial"/>
          <w:sz w:val="16"/>
          <w:szCs w:val="16"/>
          <w:i w:val="1"/>
          <w:iCs w:val="1"/>
          <w:color w:val="auto"/>
        </w:rPr>
        <w:t>Investors</w:t>
      </w:r>
      <w:r>
        <w:rPr>
          <w:rFonts w:ascii="Arial" w:cs="Arial" w:eastAsia="Arial" w:hAnsi="Arial"/>
          <w:sz w:val="16"/>
          <w:szCs w:val="16"/>
          <w:color w:val="auto"/>
        </w:rPr>
        <w:t>” and then “</w:t>
      </w:r>
      <w:r>
        <w:rPr>
          <w:rFonts w:ascii="Arial" w:cs="Arial" w:eastAsia="Arial" w:hAnsi="Arial"/>
          <w:sz w:val="16"/>
          <w:szCs w:val="16"/>
          <w:i w:val="1"/>
          <w:iCs w:val="1"/>
          <w:color w:val="auto"/>
        </w:rPr>
        <w:t>Governance/Governance Documents.</w:t>
      </w:r>
      <w:r>
        <w:rPr>
          <w:rFonts w:ascii="Arial" w:cs="Arial" w:eastAsia="Arial" w:hAnsi="Arial"/>
          <w:sz w:val="16"/>
          <w:szCs w:val="16"/>
          <w:color w:val="auto"/>
        </w:rPr>
        <w:t>” The current committee memberships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AUDIT COMMITTEE</w:t>
            </w:r>
          </w:p>
        </w:tc>
        <w:tc>
          <w:tcPr>
            <w:tcW w:w="3300" w:type="dxa"/>
            <w:vAlign w:val="bottom"/>
          </w:tcPr>
          <w:p>
            <w:pPr>
              <w:ind w:left="860"/>
              <w:spacing w:after="0"/>
              <w:rPr>
                <w:sz w:val="20"/>
                <w:szCs w:val="20"/>
                <w:color w:val="auto"/>
              </w:rPr>
            </w:pPr>
            <w:r>
              <w:rPr>
                <w:rFonts w:ascii="Arial" w:cs="Arial" w:eastAsia="Arial" w:hAnsi="Arial"/>
                <w:sz w:val="13"/>
                <w:szCs w:val="13"/>
                <w:b w:val="1"/>
                <w:bCs w:val="1"/>
                <w:color w:val="auto"/>
              </w:rPr>
              <w:t>COMPENSATION AND</w:t>
            </w:r>
          </w:p>
        </w:tc>
        <w:tc>
          <w:tcPr>
            <w:tcW w:w="3760" w:type="dxa"/>
            <w:vAlign w:val="bottom"/>
          </w:tcPr>
          <w:p>
            <w:pPr>
              <w:ind w:left="640"/>
              <w:spacing w:after="0"/>
              <w:rPr>
                <w:sz w:val="20"/>
                <w:szCs w:val="20"/>
                <w:color w:val="auto"/>
              </w:rPr>
            </w:pPr>
            <w:r>
              <w:rPr>
                <w:rFonts w:ascii="Arial" w:cs="Arial" w:eastAsia="Arial" w:hAnsi="Arial"/>
                <w:sz w:val="13"/>
                <w:szCs w:val="13"/>
                <w:b w:val="1"/>
                <w:bCs w:val="1"/>
                <w:color w:val="auto"/>
              </w:rPr>
              <w:t>NOMINATING, GOVERNANCE AND</w:t>
            </w:r>
          </w:p>
        </w:tc>
        <w:tc>
          <w:tcPr>
            <w:tcW w:w="0" w:type="dxa"/>
            <w:vAlign w:val="bottom"/>
          </w:tcPr>
          <w:p>
            <w:pPr>
              <w:spacing w:after="0"/>
              <w:rPr>
                <w:sz w:val="1"/>
                <w:szCs w:val="1"/>
                <w:color w:val="auto"/>
              </w:rPr>
            </w:pPr>
          </w:p>
        </w:tc>
      </w:tr>
      <w:tr>
        <w:trPr>
          <w:trHeight w:val="172"/>
        </w:trPr>
        <w:tc>
          <w:tcPr>
            <w:tcW w:w="2340" w:type="dxa"/>
            <w:vAlign w:val="bottom"/>
            <w:vMerge w:val="continue"/>
          </w:tcPr>
          <w:p>
            <w:pPr>
              <w:spacing w:after="0"/>
              <w:rPr>
                <w:sz w:val="14"/>
                <w:szCs w:val="14"/>
                <w:color w:val="auto"/>
              </w:rPr>
            </w:pPr>
          </w:p>
        </w:tc>
        <w:tc>
          <w:tcPr>
            <w:tcW w:w="3300" w:type="dxa"/>
            <w:vAlign w:val="bottom"/>
          </w:tcPr>
          <w:p>
            <w:pPr>
              <w:ind w:left="860"/>
              <w:spacing w:after="0"/>
              <w:rPr>
                <w:sz w:val="20"/>
                <w:szCs w:val="20"/>
                <w:color w:val="auto"/>
              </w:rPr>
            </w:pPr>
            <w:r>
              <w:rPr>
                <w:rFonts w:ascii="Arial" w:cs="Arial" w:eastAsia="Arial" w:hAnsi="Arial"/>
                <w:sz w:val="13"/>
                <w:szCs w:val="13"/>
                <w:b w:val="1"/>
                <w:bCs w:val="1"/>
                <w:color w:val="auto"/>
              </w:rPr>
              <w:t>HUMAN CAPITAL COMMITTEE</w:t>
            </w:r>
          </w:p>
        </w:tc>
        <w:tc>
          <w:tcPr>
            <w:tcW w:w="3760" w:type="dxa"/>
            <w:vAlign w:val="bottom"/>
          </w:tcPr>
          <w:p>
            <w:pPr>
              <w:ind w:left="640"/>
              <w:spacing w:after="0"/>
              <w:rPr>
                <w:sz w:val="20"/>
                <w:szCs w:val="20"/>
                <w:color w:val="auto"/>
              </w:rPr>
            </w:pPr>
            <w:r>
              <w:rPr>
                <w:rFonts w:ascii="Arial" w:cs="Arial" w:eastAsia="Arial" w:hAnsi="Arial"/>
                <w:sz w:val="13"/>
                <w:szCs w:val="13"/>
                <w:b w:val="1"/>
                <w:bCs w:val="1"/>
                <w:color w:val="auto"/>
              </w:rPr>
              <w:t>CORPORATE RESPONSIBILITY COMMITTEE</w:t>
            </w:r>
          </w:p>
        </w:tc>
        <w:tc>
          <w:tcPr>
            <w:tcW w:w="0" w:type="dxa"/>
            <w:vAlign w:val="bottom"/>
          </w:tcPr>
          <w:p>
            <w:pPr>
              <w:spacing w:after="0"/>
              <w:rPr>
                <w:sz w:val="1"/>
                <w:szCs w:val="1"/>
                <w:color w:val="auto"/>
              </w:rPr>
            </w:pPr>
          </w:p>
        </w:tc>
      </w:tr>
      <w:tr>
        <w:trPr>
          <w:trHeight w:val="62"/>
        </w:trPr>
        <w:tc>
          <w:tcPr>
            <w:tcW w:w="2340" w:type="dxa"/>
            <w:vAlign w:val="bottom"/>
          </w:tcPr>
          <w:p>
            <w:pPr>
              <w:spacing w:after="0"/>
              <w:rPr>
                <w:sz w:val="5"/>
                <w:szCs w:val="5"/>
                <w:color w:val="auto"/>
              </w:rPr>
            </w:pPr>
          </w:p>
        </w:tc>
        <w:tc>
          <w:tcPr>
            <w:tcW w:w="3300" w:type="dxa"/>
            <w:vAlign w:val="bottom"/>
          </w:tcPr>
          <w:p>
            <w:pPr>
              <w:spacing w:after="0"/>
              <w:rPr>
                <w:sz w:val="5"/>
                <w:szCs w:val="5"/>
                <w:color w:val="auto"/>
              </w:rPr>
            </w:pPr>
          </w:p>
        </w:tc>
        <w:tc>
          <w:tcPr>
            <w:tcW w:w="3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23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b w:val="1"/>
                <w:bCs w:val="1"/>
                <w:color w:val="auto"/>
              </w:rPr>
              <w:t>Peter A. Bridgman*</w:t>
            </w:r>
          </w:p>
        </w:tc>
        <w:tc>
          <w:tcPr>
            <w:tcW w:w="3300" w:type="dxa"/>
            <w:vAlign w:val="bottom"/>
            <w:tcBorders>
              <w:bottom w:val="single" w:sz="8" w:color="E6E6E6"/>
            </w:tcBorders>
            <w:shd w:val="clear" w:color="auto" w:fill="E6E6E6"/>
          </w:tcPr>
          <w:p>
            <w:pPr>
              <w:ind w:left="860"/>
              <w:spacing w:after="0"/>
              <w:rPr>
                <w:sz w:val="20"/>
                <w:szCs w:val="20"/>
                <w:color w:val="auto"/>
              </w:rPr>
            </w:pPr>
            <w:r>
              <w:rPr>
                <w:rFonts w:ascii="Arial" w:cs="Arial" w:eastAsia="Arial" w:hAnsi="Arial"/>
                <w:sz w:val="14"/>
                <w:szCs w:val="14"/>
                <w:b w:val="1"/>
                <w:bCs w:val="1"/>
                <w:color w:val="auto"/>
              </w:rPr>
              <w:t>Alan H. Howard*</w:t>
            </w:r>
          </w:p>
        </w:tc>
        <w:tc>
          <w:tcPr>
            <w:tcW w:w="3760" w:type="dxa"/>
            <w:vAlign w:val="bottom"/>
            <w:tcBorders>
              <w:bottom w:val="single" w:sz="8" w:color="E6E6E6"/>
            </w:tcBorders>
            <w:shd w:val="clear" w:color="auto" w:fill="E6E6E6"/>
          </w:tcPr>
          <w:p>
            <w:pPr>
              <w:ind w:left="640"/>
              <w:spacing w:after="0"/>
              <w:rPr>
                <w:sz w:val="20"/>
                <w:szCs w:val="20"/>
                <w:color w:val="auto"/>
              </w:rPr>
            </w:pPr>
            <w:r>
              <w:rPr>
                <w:rFonts w:ascii="Arial" w:cs="Arial" w:eastAsia="Arial" w:hAnsi="Arial"/>
                <w:sz w:val="14"/>
                <w:szCs w:val="14"/>
                <w:b w:val="1"/>
                <w:bCs w:val="1"/>
                <w:color w:val="auto"/>
              </w:rPr>
              <w:t>Ann Kirschner*</w:t>
            </w:r>
          </w:p>
        </w:tc>
        <w:tc>
          <w:tcPr>
            <w:tcW w:w="0" w:type="dxa"/>
            <w:vAlign w:val="bottom"/>
          </w:tcPr>
          <w:p>
            <w:pPr>
              <w:spacing w:after="0"/>
              <w:rPr>
                <w:sz w:val="1"/>
                <w:szCs w:val="1"/>
                <w:color w:val="auto"/>
              </w:rPr>
            </w:pPr>
          </w:p>
        </w:tc>
      </w:tr>
      <w:tr>
        <w:trPr>
          <w:trHeight w:val="254"/>
        </w:trPr>
        <w:tc>
          <w:tcPr>
            <w:tcW w:w="2340" w:type="dxa"/>
            <w:vAlign w:val="bottom"/>
          </w:tcPr>
          <w:p>
            <w:pPr>
              <w:ind w:left="160"/>
              <w:spacing w:after="0"/>
              <w:rPr>
                <w:sz w:val="20"/>
                <w:szCs w:val="20"/>
                <w:color w:val="auto"/>
              </w:rPr>
            </w:pPr>
            <w:r>
              <w:rPr>
                <w:rFonts w:ascii="Arial" w:cs="Arial" w:eastAsia="Arial" w:hAnsi="Arial"/>
                <w:sz w:val="14"/>
                <w:szCs w:val="14"/>
                <w:b w:val="1"/>
                <w:bCs w:val="1"/>
                <w:color w:val="auto"/>
              </w:rPr>
              <w:t>Alan H. Howard</w:t>
            </w:r>
          </w:p>
        </w:tc>
        <w:tc>
          <w:tcPr>
            <w:tcW w:w="3300" w:type="dxa"/>
            <w:vAlign w:val="bottom"/>
          </w:tcPr>
          <w:p>
            <w:pPr>
              <w:ind w:left="860"/>
              <w:spacing w:after="0"/>
              <w:rPr>
                <w:sz w:val="20"/>
                <w:szCs w:val="20"/>
                <w:color w:val="auto"/>
              </w:rPr>
            </w:pPr>
            <w:r>
              <w:rPr>
                <w:rFonts w:ascii="Arial" w:cs="Arial" w:eastAsia="Arial" w:hAnsi="Arial"/>
                <w:sz w:val="14"/>
                <w:szCs w:val="14"/>
                <w:b w:val="1"/>
                <w:bCs w:val="1"/>
                <w:color w:val="auto"/>
              </w:rPr>
              <w:t>Ann Kirschner</w:t>
            </w:r>
          </w:p>
        </w:tc>
        <w:tc>
          <w:tcPr>
            <w:tcW w:w="3760" w:type="dxa"/>
            <w:vAlign w:val="bottom"/>
          </w:tcPr>
          <w:p>
            <w:pPr>
              <w:ind w:left="640"/>
              <w:spacing w:after="0"/>
              <w:rPr>
                <w:sz w:val="20"/>
                <w:szCs w:val="20"/>
                <w:color w:val="auto"/>
              </w:rPr>
            </w:pPr>
            <w:r>
              <w:rPr>
                <w:rFonts w:ascii="Arial" w:cs="Arial" w:eastAsia="Arial" w:hAnsi="Arial"/>
                <w:sz w:val="14"/>
                <w:szCs w:val="14"/>
                <w:b w:val="1"/>
                <w:bCs w:val="1"/>
                <w:color w:val="auto"/>
              </w:rPr>
              <w:t>Peter A. Bridgman</w:t>
            </w:r>
          </w:p>
        </w:tc>
        <w:tc>
          <w:tcPr>
            <w:tcW w:w="0" w:type="dxa"/>
            <w:vAlign w:val="bottom"/>
          </w:tcPr>
          <w:p>
            <w:pPr>
              <w:spacing w:after="0"/>
              <w:rPr>
                <w:sz w:val="1"/>
                <w:szCs w:val="1"/>
                <w:color w:val="auto"/>
              </w:rPr>
            </w:pPr>
          </w:p>
        </w:tc>
      </w:tr>
      <w:tr>
        <w:trPr>
          <w:trHeight w:val="56"/>
        </w:trPr>
        <w:tc>
          <w:tcPr>
            <w:tcW w:w="2340" w:type="dxa"/>
            <w:vAlign w:val="bottom"/>
          </w:tcPr>
          <w:p>
            <w:pPr>
              <w:spacing w:after="0"/>
              <w:rPr>
                <w:sz w:val="4"/>
                <w:szCs w:val="4"/>
                <w:color w:val="auto"/>
              </w:rPr>
            </w:pPr>
          </w:p>
        </w:tc>
        <w:tc>
          <w:tcPr>
            <w:tcW w:w="3300" w:type="dxa"/>
            <w:vAlign w:val="bottom"/>
          </w:tcPr>
          <w:p>
            <w:pPr>
              <w:spacing w:after="0"/>
              <w:rPr>
                <w:sz w:val="4"/>
                <w:szCs w:val="4"/>
                <w:color w:val="auto"/>
              </w:rPr>
            </w:pPr>
          </w:p>
        </w:tc>
        <w:tc>
          <w:tcPr>
            <w:tcW w:w="3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3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b w:val="1"/>
                <w:bCs w:val="1"/>
                <w:color w:val="auto"/>
              </w:rPr>
              <w:t>Richard Isserman</w:t>
            </w:r>
          </w:p>
        </w:tc>
        <w:tc>
          <w:tcPr>
            <w:tcW w:w="3300" w:type="dxa"/>
            <w:vAlign w:val="bottom"/>
            <w:tcBorders>
              <w:bottom w:val="single" w:sz="8" w:color="E6E6E6"/>
            </w:tcBorders>
            <w:shd w:val="clear" w:color="auto" w:fill="E6E6E6"/>
          </w:tcPr>
          <w:p>
            <w:pPr>
              <w:ind w:left="860"/>
              <w:spacing w:after="0"/>
              <w:rPr>
                <w:sz w:val="20"/>
                <w:szCs w:val="20"/>
                <w:color w:val="auto"/>
              </w:rPr>
            </w:pPr>
            <w:r>
              <w:rPr>
                <w:rFonts w:ascii="Arial" w:cs="Arial" w:eastAsia="Arial" w:hAnsi="Arial"/>
                <w:sz w:val="14"/>
                <w:szCs w:val="14"/>
                <w:b w:val="1"/>
                <w:bCs w:val="1"/>
                <w:color w:val="auto"/>
              </w:rPr>
              <w:t>Stephen Sadove</w:t>
            </w:r>
          </w:p>
        </w:tc>
        <w:tc>
          <w:tcPr>
            <w:tcW w:w="3760" w:type="dxa"/>
            <w:vAlign w:val="bottom"/>
            <w:tcBorders>
              <w:bottom w:val="single" w:sz="8" w:color="E6E6E6"/>
            </w:tcBorders>
            <w:shd w:val="clear" w:color="auto" w:fill="E6E6E6"/>
          </w:tcPr>
          <w:p>
            <w:pPr>
              <w:ind w:left="640"/>
              <w:spacing w:after="0"/>
              <w:rPr>
                <w:sz w:val="20"/>
                <w:szCs w:val="20"/>
                <w:color w:val="auto"/>
              </w:rPr>
            </w:pPr>
            <w:r>
              <w:rPr>
                <w:rFonts w:ascii="Arial" w:cs="Arial" w:eastAsia="Arial" w:hAnsi="Arial"/>
                <w:sz w:val="14"/>
                <w:szCs w:val="14"/>
                <w:b w:val="1"/>
                <w:bCs w:val="1"/>
                <w:color w:val="auto"/>
              </w:rPr>
              <w:t>Stephen Sadove</w:t>
            </w:r>
          </w:p>
        </w:tc>
        <w:tc>
          <w:tcPr>
            <w:tcW w:w="0" w:type="dxa"/>
            <w:vAlign w:val="bottom"/>
          </w:tcPr>
          <w:p>
            <w:pPr>
              <w:spacing w:after="0"/>
              <w:rPr>
                <w:sz w:val="1"/>
                <w:szCs w:val="1"/>
                <w:color w:val="auto"/>
              </w:rPr>
            </w:pPr>
          </w:p>
        </w:tc>
      </w:tr>
      <w:tr>
        <w:trPr>
          <w:trHeight w:val="254"/>
        </w:trPr>
        <w:tc>
          <w:tcPr>
            <w:tcW w:w="2340" w:type="dxa"/>
            <w:vAlign w:val="bottom"/>
          </w:tcPr>
          <w:p>
            <w:pPr>
              <w:ind w:left="160"/>
              <w:spacing w:after="0"/>
              <w:rPr>
                <w:sz w:val="20"/>
                <w:szCs w:val="20"/>
                <w:color w:val="auto"/>
              </w:rPr>
            </w:pPr>
            <w:r>
              <w:rPr>
                <w:rFonts w:ascii="Arial" w:cs="Arial" w:eastAsia="Arial" w:hAnsi="Arial"/>
                <w:sz w:val="14"/>
                <w:szCs w:val="14"/>
                <w:b w:val="1"/>
                <w:bCs w:val="1"/>
                <w:color w:val="auto"/>
              </w:rPr>
              <w:t>Stephen Sadove</w:t>
            </w:r>
          </w:p>
        </w:tc>
        <w:tc>
          <w:tcPr>
            <w:tcW w:w="3300" w:type="dxa"/>
            <w:vAlign w:val="bottom"/>
          </w:tcPr>
          <w:p>
            <w:pPr>
              <w:spacing w:after="0"/>
              <w:rPr>
                <w:sz w:val="22"/>
                <w:szCs w:val="22"/>
                <w:color w:val="auto"/>
              </w:rPr>
            </w:pPr>
          </w:p>
        </w:tc>
        <w:tc>
          <w:tcPr>
            <w:tcW w:w="3760" w:type="dxa"/>
            <w:vAlign w:val="bottom"/>
          </w:tcPr>
          <w:p>
            <w:pPr>
              <w:ind w:left="640"/>
              <w:spacing w:after="0"/>
              <w:rPr>
                <w:sz w:val="20"/>
                <w:szCs w:val="20"/>
                <w:color w:val="auto"/>
              </w:rPr>
            </w:pPr>
            <w:r>
              <w:rPr>
                <w:rFonts w:ascii="Arial" w:cs="Arial" w:eastAsia="Arial" w:hAnsi="Arial"/>
                <w:sz w:val="14"/>
                <w:szCs w:val="14"/>
                <w:b w:val="1"/>
                <w:bCs w:val="1"/>
                <w:color w:val="auto"/>
              </w:rPr>
              <w:t>Maya Peterson</w:t>
            </w:r>
          </w:p>
        </w:tc>
        <w:tc>
          <w:tcPr>
            <w:tcW w:w="0" w:type="dxa"/>
            <w:vAlign w:val="bottom"/>
          </w:tcPr>
          <w:p>
            <w:pPr>
              <w:spacing w:after="0"/>
              <w:rPr>
                <w:sz w:val="1"/>
                <w:szCs w:val="1"/>
                <w:color w:val="auto"/>
              </w:rPr>
            </w:pPr>
          </w:p>
        </w:tc>
      </w:tr>
      <w:tr>
        <w:trPr>
          <w:trHeight w:val="29"/>
        </w:trPr>
        <w:tc>
          <w:tcPr>
            <w:tcW w:w="2340" w:type="dxa"/>
            <w:vAlign w:val="bottom"/>
            <w:tcBorders>
              <w:bottom w:val="single" w:sz="8" w:color="D9BA05"/>
            </w:tcBorders>
          </w:tcPr>
          <w:p>
            <w:pPr>
              <w:spacing w:after="0"/>
              <w:rPr>
                <w:sz w:val="2"/>
                <w:szCs w:val="2"/>
                <w:color w:val="auto"/>
              </w:rPr>
            </w:pPr>
          </w:p>
        </w:tc>
        <w:tc>
          <w:tcPr>
            <w:tcW w:w="3300" w:type="dxa"/>
            <w:vAlign w:val="bottom"/>
            <w:tcBorders>
              <w:bottom w:val="single" w:sz="8" w:color="D9BA05"/>
            </w:tcBorders>
          </w:tcPr>
          <w:p>
            <w:pPr>
              <w:spacing w:after="0"/>
              <w:rPr>
                <w:sz w:val="2"/>
                <w:szCs w:val="2"/>
                <w:color w:val="auto"/>
              </w:rPr>
            </w:pPr>
          </w:p>
        </w:tc>
        <w:tc>
          <w:tcPr>
            <w:tcW w:w="3760" w:type="dxa"/>
            <w:vAlign w:val="bottom"/>
            <w:tcBorders>
              <w:bottom w:val="single" w:sz="8" w:color="D9BA0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40" w:hanging="334"/>
        <w:spacing w:after="0"/>
        <w:tabs>
          <w:tab w:leader="none" w:pos="340" w:val="left"/>
        </w:tabs>
        <w:numPr>
          <w:ilvl w:val="0"/>
          <w:numId w:val="12"/>
        </w:numPr>
        <w:rPr>
          <w:rFonts w:ascii="Arial" w:cs="Arial" w:eastAsia="Arial" w:hAnsi="Arial"/>
          <w:sz w:val="13"/>
          <w:szCs w:val="13"/>
          <w:color w:val="333333"/>
        </w:rPr>
      </w:pPr>
      <w:r>
        <w:rPr>
          <w:rFonts w:ascii="Arial" w:cs="Arial" w:eastAsia="Arial" w:hAnsi="Arial"/>
          <w:sz w:val="13"/>
          <w:szCs w:val="13"/>
          <w:color w:val="333333"/>
        </w:rPr>
        <w:t>Committee Chair</w:t>
      </w: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Audit Committee</w:t>
      </w:r>
    </w:p>
    <w:p>
      <w:pPr>
        <w:spacing w:after="0" w:line="34" w:lineRule="exact"/>
        <w:rPr>
          <w:sz w:val="20"/>
          <w:szCs w:val="20"/>
          <w:color w:val="auto"/>
        </w:rPr>
      </w:pPr>
    </w:p>
    <w:p>
      <w:pPr>
        <w:ind w:right="280"/>
        <w:spacing w:after="0" w:line="256" w:lineRule="auto"/>
        <w:rPr>
          <w:sz w:val="20"/>
          <w:szCs w:val="20"/>
          <w:color w:val="auto"/>
        </w:rPr>
      </w:pPr>
      <w:r>
        <w:rPr>
          <w:rFonts w:ascii="Arial" w:cs="Arial" w:eastAsia="Arial" w:hAnsi="Arial"/>
          <w:sz w:val="16"/>
          <w:szCs w:val="16"/>
          <w:color w:val="auto"/>
        </w:rPr>
        <w:t>The Board of Directors has determined that each member of the Audit Committee is an “audit committee financial expert” as defined under the rules adopted by the SEC and, therefore, has accounting or related financial expertise in accordance with the NYSE listing standards. The Audit Committee held six meetings in fiscal 2026.</w:t>
      </w:r>
    </w:p>
    <w:p>
      <w:pPr>
        <w:spacing w:after="0" w:line="124"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principal functions of the Audit Committee are to (i) appoint, approve the compensation of, terminate and oversee the work of the Company’s independent auditors; (ii) approve in advance all audit and permissible non-audit services provided to the Company by independent auditors; (iii) review, in consultation with the Company’s independent auditors, management and the Company’s internal auditors, the Company’s financial reporting process, including its internal controls; (iv) review, with management and the Company’s independent auditors, the Company’s annual and quarterly financial statements before the same are publicly filed; and</w:t>
      </w:r>
    </w:p>
    <w:p>
      <w:pPr>
        <w:spacing w:after="0" w:line="3" w:lineRule="exact"/>
        <w:rPr>
          <w:sz w:val="20"/>
          <w:szCs w:val="20"/>
          <w:color w:val="auto"/>
        </w:rPr>
      </w:pPr>
    </w:p>
    <w:p>
      <w:pPr>
        <w:jc w:val="both"/>
        <w:ind w:right="320" w:firstLine="6"/>
        <w:spacing w:after="0" w:line="256" w:lineRule="auto"/>
        <w:tabs>
          <w:tab w:leader="none" w:pos="234"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report regularly to the Board of Directors with respect to any issues that arise concerning, among other things, the quality or integrity of the Company’s financial statements, the performance of the internal audit function, the Company’s compliance with legal requirements and the performance and independence of the Company’s independent auditors.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Compensation and Human Capital Committee</w:t>
      </w:r>
    </w:p>
    <w:p>
      <w:pPr>
        <w:spacing w:after="0" w:line="34" w:lineRule="exact"/>
        <w:rPr>
          <w:sz w:val="20"/>
          <w:szCs w:val="20"/>
          <w:color w:val="auto"/>
        </w:rPr>
      </w:pPr>
    </w:p>
    <w:p>
      <w:pPr>
        <w:ind w:right="140"/>
        <w:spacing w:after="0" w:line="246" w:lineRule="auto"/>
        <w:rPr>
          <w:sz w:val="20"/>
          <w:szCs w:val="20"/>
          <w:color w:val="auto"/>
        </w:rPr>
      </w:pPr>
      <w:r>
        <w:rPr>
          <w:rFonts w:ascii="Arial" w:cs="Arial" w:eastAsia="Arial" w:hAnsi="Arial"/>
          <w:sz w:val="16"/>
          <w:szCs w:val="16"/>
          <w:color w:val="auto"/>
        </w:rPr>
        <w:t>The Compensation and Human Capital Committee held four meetings in fiscal 2026. The principal functions of the Compensation and Human Capital Committee are to (i) review and approve corporate goals and objectives relevant to the Chief Executive Officer’s (“CEO’s”) compensation, evaluate the CEO’s performance in light of those goals and objectives and set the CEO’s compensation level based on that evaluation; (ii) review and approve compensation levels for non-CEO executive officers;</w:t>
      </w:r>
    </w:p>
    <w:p>
      <w:pPr>
        <w:spacing w:after="0" w:line="2" w:lineRule="exact"/>
        <w:rPr>
          <w:sz w:val="20"/>
          <w:szCs w:val="20"/>
          <w:color w:val="auto"/>
        </w:rPr>
      </w:pPr>
    </w:p>
    <w:p>
      <w:pPr>
        <w:ind w:right="60" w:firstLine="6"/>
        <w:spacing w:after="0" w:line="256" w:lineRule="auto"/>
        <w:tabs>
          <w:tab w:leader="none" w:pos="261" w:val="left"/>
        </w:tabs>
        <w:numPr>
          <w:ilvl w:val="0"/>
          <w:numId w:val="14"/>
        </w:numPr>
        <w:rPr>
          <w:rFonts w:ascii="Arial" w:cs="Arial" w:eastAsia="Arial" w:hAnsi="Arial"/>
          <w:sz w:val="16"/>
          <w:szCs w:val="16"/>
          <w:color w:val="auto"/>
        </w:rPr>
      </w:pPr>
      <w:r>
        <w:rPr>
          <w:rFonts w:ascii="Arial" w:cs="Arial" w:eastAsia="Arial" w:hAnsi="Arial"/>
          <w:sz w:val="16"/>
          <w:szCs w:val="16"/>
          <w:color w:val="auto"/>
        </w:rPr>
        <w:t>review significant employee benefit programs; (iv) establish and administer executive compensation programs, including bonus plans, stock option and other equity-based programs, deferred compensation plans and any other cash or stock incentive programs; and (v) oversee and review the Company’s human capital management practices.</w:t>
      </w:r>
    </w:p>
    <w:p>
      <w:pPr>
        <w:spacing w:after="0" w:line="124" w:lineRule="exact"/>
        <w:rPr>
          <w:sz w:val="20"/>
          <w:szCs w:val="20"/>
          <w:color w:val="auto"/>
        </w:rPr>
      </w:pPr>
    </w:p>
    <w:p>
      <w:pPr>
        <w:ind w:right="440"/>
        <w:spacing w:after="0" w:line="266" w:lineRule="auto"/>
        <w:rPr>
          <w:sz w:val="20"/>
          <w:szCs w:val="20"/>
          <w:color w:val="auto"/>
        </w:rPr>
      </w:pPr>
      <w:r>
        <w:rPr>
          <w:rFonts w:ascii="Arial" w:cs="Arial" w:eastAsia="Arial" w:hAnsi="Arial"/>
          <w:sz w:val="16"/>
          <w:szCs w:val="16"/>
          <w:color w:val="auto"/>
        </w:rPr>
        <w:t>For additional information concerning the operation of the Compensation and Human Capital Committee, including the role of outside compensation consultants and management in the process of determining the amount and form of executive compensation, see “Compensation Discussion and Analysis”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and Human Capital Committee Interlocks and Insider Participation</w:t>
      </w:r>
    </w:p>
    <w:p>
      <w:pPr>
        <w:spacing w:after="0" w:line="41" w:lineRule="exact"/>
        <w:rPr>
          <w:sz w:val="20"/>
          <w:szCs w:val="20"/>
          <w:color w:val="auto"/>
        </w:rPr>
      </w:pPr>
    </w:p>
    <w:p>
      <w:pPr>
        <w:ind w:right="160"/>
        <w:spacing w:after="0" w:line="259" w:lineRule="auto"/>
        <w:rPr>
          <w:sz w:val="20"/>
          <w:szCs w:val="20"/>
          <w:color w:val="auto"/>
        </w:rPr>
      </w:pPr>
      <w:r>
        <w:rPr>
          <w:rFonts w:ascii="Arial" w:cs="Arial" w:eastAsia="Arial" w:hAnsi="Arial"/>
          <w:sz w:val="16"/>
          <w:szCs w:val="16"/>
          <w:color w:val="auto"/>
        </w:rPr>
        <w:t>The Company’s Compensation and Human Capital Committee was at all times during fiscal year 2026 comprised entirely of independent directors who at no time were executive officers or employees of the Company. No executive officer of the Company has ever served as a member of the board of directors or compensation committee of any company whose executive officers include a member of the Board of Directors or the Compensation and Human Capital Committee.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Nominating, Governance and Corporate Responsibility Committee</w:t>
      </w:r>
    </w:p>
    <w:p>
      <w:pPr>
        <w:spacing w:after="0" w:line="34"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The Nominating, Governance and Corporate Responsibility Committee held four meetings in fiscal 2026. The principal functions of the Nominating, Governance and Corporate Responsibility Committee are to (i) identify individuals qualified to become directors, consistent with criteria approved by the Board of Directors, and recommend director candidates to the Board of Directors;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(ii) develop and recommend corporate governance principles to the Board of Directors; (iii) oversee the code of ethics for directors,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Movado Group, Inc.        12</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jc w:val="both"/>
        <w:ind w:right="360"/>
        <w:spacing w:after="0" w:line="266" w:lineRule="auto"/>
        <w:rPr>
          <w:sz w:val="20"/>
          <w:szCs w:val="20"/>
          <w:color w:val="auto"/>
        </w:rPr>
      </w:pPr>
      <w:r>
        <w:rPr>
          <w:rFonts w:ascii="Arial" w:cs="Arial" w:eastAsia="Arial" w:hAnsi="Arial"/>
          <w:sz w:val="16"/>
          <w:szCs w:val="16"/>
          <w:color w:val="auto"/>
        </w:rPr>
        <w:t>officers and employees of the Company and assure that procedures are in place for disclosure of any waivers of that code for directors or executive officers; (iv) facilitate an annual assessment of the performance of the Board of Directors and each of its committees; and (v) oversee the Company’s overall approach to corporate responsibility.</w:t>
      </w:r>
    </w:p>
    <w:p>
      <w:pPr>
        <w:spacing w:after="0" w:line="117" w:lineRule="exact"/>
        <w:rPr>
          <w:sz w:val="20"/>
          <w:szCs w:val="20"/>
          <w:color w:val="auto"/>
        </w:rPr>
      </w:pPr>
    </w:p>
    <w:p>
      <w:pPr>
        <w:ind w:right="40"/>
        <w:spacing w:after="0" w:line="250" w:lineRule="auto"/>
        <w:rPr>
          <w:sz w:val="20"/>
          <w:szCs w:val="20"/>
          <w:color w:val="auto"/>
        </w:rPr>
      </w:pPr>
      <w:r>
        <w:rPr>
          <w:rFonts w:ascii="Arial" w:cs="Arial" w:eastAsia="Arial" w:hAnsi="Arial"/>
          <w:sz w:val="16"/>
          <w:szCs w:val="16"/>
          <w:color w:val="auto"/>
        </w:rPr>
        <w:t>The Board of Directors and individual committee self-assessments typically occur each May or June. The annual Board of Directors self-assessment is organized by the Chair of the Nominating, Governance and Corporate Responsibility Committee who generally circulates a list of proposed key discussion topics as well as current and relevant governance issues in advance of the meeting to each member of the Board of Directors for review, consideration and input. Topics are centered on Board of Directors practices and performance and are intended to and do engender analysis and robust discussion. Management members of the Board of Directors attend and participate in the first part of the self-assessment meeting together with the non-employee directors, after which the non-employee directors meet alone. In addition, the Committee Chair conducts one-on-one meetings with each Board member to elicit feedback on the functioning of the Board. At the first regularly scheduled Board of Directors meeting following the self-assessment meetings, the Nominating, Governance and Corporate Responsibility Committee Chair reports to the full Board of Directors on the results of the Board of Directors self-assessment. Based on those results and any recommendations coming out of the self-assessment, the Board of Directors may implement changes, as appropriate, to its corporate governance guidelines or other processes.</w:t>
      </w: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IDENTIFYING AND EVALUATING CANDIDATES FOR THE BOARD OF DIRECTORS</w:t>
      </w:r>
    </w:p>
    <w:p>
      <w:pPr>
        <w:spacing w:after="0" w:line="86"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In considering possible candidates to serve on the Board of Directors, the Nominating, Governance and Corporate Responsibility Committee will take into account all appropriate qualifications, qualities and skills in the context of the current make-up of the Board of Directors and will consider the entirety of each candidate’s credentials. In addition, the Committee will evaluate each nominee according to the following criteria: personal character, accomplishments, integrity, and reputation in the business community; knowledge of the industry in which the Company does business; sound business judgment; leadership ability and capacity for strategic thinking; experience working constructively with others; sufficient time to devote to Board of Directors matters; diversity of viewpoints and backgrounds; and the absence of any conflict of interest that might interfere with performance as a director. While the Nominating, Governance and Corporate Responsibility Committee has no other policy with respect to the consideration of diversity in identifying nominees, it seeks directors who represent a diverse mix of backgrounds and experiences that will enhance the quality of the Board of Directors’ deliberations and decisions.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Shareholders may recommend director candidates for consideration by the Nominating, Governance and Corporate Responsibility Committee. To have a candidate considered by the Committee, a shareholder must submit the recommendation in writing and must include the following information:</w:t>
      </w:r>
    </w:p>
    <w:p>
      <w:pPr>
        <w:spacing w:after="0" w:line="117" w:lineRule="exact"/>
        <w:rPr>
          <w:sz w:val="20"/>
          <w:szCs w:val="20"/>
          <w:color w:val="auto"/>
        </w:rPr>
      </w:pPr>
    </w:p>
    <w:p>
      <w:pPr>
        <w:ind w:left="660" w:right="120" w:hanging="330"/>
        <w:spacing w:after="0" w:line="28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name and address of the shareholder and evidence of the shareholder’s ownership of Company stock, including the number and class of shares owned and the length of time of ownership;</w:t>
      </w:r>
    </w:p>
    <w:p>
      <w:pPr>
        <w:spacing w:after="0" w:line="101" w:lineRule="exact"/>
        <w:rPr>
          <w:rFonts w:ascii="Arial" w:cs="Arial" w:eastAsia="Arial" w:hAnsi="Arial"/>
          <w:sz w:val="16"/>
          <w:szCs w:val="16"/>
          <w:color w:val="auto"/>
        </w:rPr>
      </w:pPr>
    </w:p>
    <w:p>
      <w:pPr>
        <w:ind w:left="660" w:right="160" w:hanging="330"/>
        <w:spacing w:after="0" w:line="28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description of all arrangements or understandings between the shareholder and each candidate pursuant to which the nomination is being made;</w:t>
      </w:r>
    </w:p>
    <w:p>
      <w:pPr>
        <w:spacing w:after="0" w:line="101" w:lineRule="exact"/>
        <w:rPr>
          <w:rFonts w:ascii="Arial" w:cs="Arial" w:eastAsia="Arial" w:hAnsi="Arial"/>
          <w:sz w:val="16"/>
          <w:szCs w:val="16"/>
          <w:color w:val="auto"/>
        </w:rPr>
      </w:pPr>
    </w:p>
    <w:p>
      <w:pPr>
        <w:ind w:left="660" w:right="80" w:hanging="330"/>
        <w:spacing w:after="0" w:line="28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name of the candidate, the candidate’s résumé or a listing of his or her qualifications to be a director of the Company and the person’s consent to be named as a director if nominated by the Board of Directors; and</w:t>
      </w:r>
    </w:p>
    <w:p>
      <w:pPr>
        <w:spacing w:after="0" w:line="101" w:lineRule="exact"/>
        <w:rPr>
          <w:rFonts w:ascii="Arial" w:cs="Arial" w:eastAsia="Arial" w:hAnsi="Arial"/>
          <w:sz w:val="16"/>
          <w:szCs w:val="16"/>
          <w:color w:val="auto"/>
        </w:rPr>
      </w:pPr>
    </w:p>
    <w:p>
      <w:pPr>
        <w:ind w:left="660" w:right="420" w:hanging="330"/>
        <w:spacing w:after="0" w:line="286"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Such other information regarding each proposed candidate as would be required to be included in a proxy statement under the rules of the SEC if such candidate had been nominated by the Board of Directors.</w:t>
      </w:r>
    </w:p>
    <w:p>
      <w:pPr>
        <w:spacing w:after="0" w:line="102" w:lineRule="exact"/>
        <w:rPr>
          <w:sz w:val="20"/>
          <w:szCs w:val="20"/>
          <w:color w:val="auto"/>
        </w:rPr>
      </w:pPr>
    </w:p>
    <w:p>
      <w:pPr>
        <w:ind w:right="100"/>
        <w:spacing w:after="0" w:line="256" w:lineRule="auto"/>
        <w:rPr>
          <w:sz w:val="20"/>
          <w:szCs w:val="20"/>
          <w:color w:val="auto"/>
        </w:rPr>
      </w:pPr>
      <w:r>
        <w:rPr>
          <w:rFonts w:ascii="Arial" w:cs="Arial" w:eastAsia="Arial" w:hAnsi="Arial"/>
          <w:sz w:val="16"/>
          <w:szCs w:val="16"/>
          <w:color w:val="auto"/>
        </w:rPr>
        <w:t>Each such recommendation must be sent to the Secretary of the Company at Movado Group, Inc., 650 From Road, Ste. 375, Paramus, New Jersey 07652-3556 and must be received within the time indicated above under “</w:t>
      </w:r>
      <w:r>
        <w:rPr>
          <w:rFonts w:ascii="Arial" w:cs="Arial" w:eastAsia="Arial" w:hAnsi="Arial"/>
          <w:sz w:val="16"/>
          <w:szCs w:val="16"/>
          <w:i w:val="1"/>
          <w:iCs w:val="1"/>
          <w:color w:val="auto"/>
        </w:rPr>
        <w:t>When are shareholder proposals</w:t>
      </w:r>
      <w:r>
        <w:rPr>
          <w:rFonts w:ascii="Arial" w:cs="Arial" w:eastAsia="Arial" w:hAnsi="Arial"/>
          <w:sz w:val="16"/>
          <w:szCs w:val="16"/>
          <w:color w:val="auto"/>
        </w:rPr>
        <w:t xml:space="preserve"> </w:t>
      </w:r>
      <w:r>
        <w:rPr>
          <w:rFonts w:ascii="Arial" w:cs="Arial" w:eastAsia="Arial" w:hAnsi="Arial"/>
          <w:sz w:val="16"/>
          <w:szCs w:val="16"/>
          <w:i w:val="1"/>
          <w:iCs w:val="1"/>
          <w:color w:val="auto"/>
        </w:rPr>
        <w:t>due for consideration at next year’s annual meeting</w:t>
      </w:r>
      <w:r>
        <w:rPr>
          <w:rFonts w:ascii="Arial" w:cs="Arial" w:eastAsia="Arial" w:hAnsi="Arial"/>
          <w:sz w:val="16"/>
          <w:szCs w:val="16"/>
          <w:color w:val="auto"/>
        </w:rPr>
        <w:t>?” The Nominating, Governance and Corporate Responsibility Committee will</w:t>
      </w:r>
      <w:r>
        <w:rPr>
          <w:rFonts w:ascii="Arial" w:cs="Arial" w:eastAsia="Arial" w:hAnsi="Arial"/>
          <w:sz w:val="16"/>
          <w:szCs w:val="16"/>
          <w:i w:val="1"/>
          <w:iCs w:val="1"/>
          <w:color w:val="auto"/>
        </w:rPr>
        <w:t xml:space="preserve"> </w:t>
      </w:r>
      <w:r>
        <w:rPr>
          <w:rFonts w:ascii="Arial" w:cs="Arial" w:eastAsia="Arial" w:hAnsi="Arial"/>
          <w:sz w:val="16"/>
          <w:szCs w:val="16"/>
          <w:color w:val="auto"/>
        </w:rPr>
        <w:t>evaluate shareholder recommended director candidates in the same manner as it evaluates director candidates identified by other means.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Movado Group, Inc.        13</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AND INSIDER TRADING POLICIES</w:t>
      </w:r>
    </w:p>
    <w:p>
      <w:pPr>
        <w:spacing w:after="0" w:line="73"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Company has adopted a Code of Business Conduct and Ethics that applies to all directors, officers and employees, including the Company’s Chief Executive Officer, Chief Financial Officer and principal accounting officer. The Code prohibits, among other things, trading in securities of the Company or other companies while aware of material non-public information about them, or communicating such information to third parties. The Company believes that its insider trading policies and procedures are reasonably designed to promote compliance with insider trading laws, rules, and regulations, and the stock exchange listing standards applicable to it. A copy of the Company’s insider trading policy is filed as Exhibit 19.1 to its 2026 Annual Report on Form 10-K. It is also the policy of the Company to comply with all applicable securities laws when transacting in its own securities. Although the Company has not adopted any practices or policies specifically prohibiting transactions that hedge or offset, or are designed to hedge or offset, any decrease in the market value of the Company’s equity securities, Company policy prohibits short sales and trading in puts, calls and other derivatives of Company stock.</w:t>
      </w:r>
    </w:p>
    <w:p>
      <w:pPr>
        <w:spacing w:after="0" w:line="13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The Company’s Corporate Governance Guidelines and its Code of Business Conduct and Ethics are available on the Company’s website at www.movadogroup.com by clicking on “</w:t>
      </w:r>
      <w:r>
        <w:rPr>
          <w:rFonts w:ascii="Arial" w:cs="Arial" w:eastAsia="Arial" w:hAnsi="Arial"/>
          <w:sz w:val="16"/>
          <w:szCs w:val="16"/>
          <w:i w:val="1"/>
          <w:iCs w:val="1"/>
          <w:color w:val="auto"/>
        </w:rPr>
        <w:t>Investors</w:t>
      </w:r>
      <w:r>
        <w:rPr>
          <w:rFonts w:ascii="Arial" w:cs="Arial" w:eastAsia="Arial" w:hAnsi="Arial"/>
          <w:sz w:val="16"/>
          <w:szCs w:val="16"/>
          <w:color w:val="auto"/>
        </w:rPr>
        <w:t>” and then “</w:t>
      </w:r>
      <w:r>
        <w:rPr>
          <w:rFonts w:ascii="Arial" w:cs="Arial" w:eastAsia="Arial" w:hAnsi="Arial"/>
          <w:sz w:val="16"/>
          <w:szCs w:val="16"/>
          <w:i w:val="1"/>
          <w:iCs w:val="1"/>
          <w:color w:val="auto"/>
        </w:rPr>
        <w:t>Governance/Governance Documents</w:t>
      </w:r>
      <w:r>
        <w:rPr>
          <w:rFonts w:ascii="Arial" w:cs="Arial" w:eastAsia="Arial" w:hAnsi="Arial"/>
          <w:sz w:val="16"/>
          <w:szCs w:val="16"/>
          <w:color w:val="auto"/>
        </w:rPr>
        <w:t>.” The Corporate Governance Guidelines and the Code of Business Conduct and Ethics are also available in print, without charge, upon the written request of any shareholder.</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7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The listing standards of the NYSE require that a majority of the Board of Directors be independent. No director qualifies as independent unless the Board affirmatively determines that the director has no material relationship with the Company (either directly or as a partner, shareholder or officer of an organization that has a relationship with the Company). The Board of Directors broadly considers all relevant facts and circumstances relative to independence and considers the issue not merely from the standpoint of the director, but also from the viewpoint of persons or organizations with which the director has an affiliation. Material relationships can include commercial, industrial, banking, consulting, legal, accounting, charitable and familial relationships (among others). In accordance with the NYSE listing standards, the Board of Directors has adopted the following standards regarding director independence:</w:t>
      </w:r>
    </w:p>
    <w:p>
      <w:pPr>
        <w:spacing w:after="0" w:line="129" w:lineRule="exact"/>
        <w:rPr>
          <w:sz w:val="20"/>
          <w:szCs w:val="20"/>
          <w:color w:val="auto"/>
        </w:rPr>
      </w:pPr>
    </w:p>
    <w:p>
      <w:pPr>
        <w:jc w:val="both"/>
        <w:ind w:left="660" w:hanging="330"/>
        <w:spacing w:after="0" w:line="259"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director who is a current employee, or whose immediate family member is a current executive officer, of a company that makes payments to, or receives payments from, the Company for goods or services in an amount which, in any of the last three fiscal years, exceeds the greater of $1,000,000 or 2% of such other company’s consolidated gross revenues, will not be considered an independent director; and</w:t>
      </w:r>
    </w:p>
    <w:p>
      <w:pPr>
        <w:spacing w:after="0" w:line="123" w:lineRule="exact"/>
        <w:rPr>
          <w:rFonts w:ascii="Arial" w:cs="Arial" w:eastAsia="Arial" w:hAnsi="Arial"/>
          <w:sz w:val="16"/>
          <w:szCs w:val="16"/>
          <w:color w:val="auto"/>
        </w:rPr>
      </w:pPr>
    </w:p>
    <w:p>
      <w:pPr>
        <w:ind w:left="660" w:right="120" w:hanging="330"/>
        <w:spacing w:after="0" w:line="259"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director who serves, or whose immediate family member serves, as an executive, officer, director, trustee or employee of a charitable organization that receives discretionary charitable contributions from the Company in an amount less than the greater of $1,000,000 and 2% of that organization’s consolidated gross revenues, will not be disqualified from being considered independent based solely on that relationship.</w:t>
      </w:r>
    </w:p>
    <w:p>
      <w:pPr>
        <w:spacing w:after="0" w:line="124" w:lineRule="exact"/>
        <w:rPr>
          <w:sz w:val="20"/>
          <w:szCs w:val="20"/>
          <w:color w:val="auto"/>
        </w:rPr>
      </w:pPr>
    </w:p>
    <w:p>
      <w:pPr>
        <w:jc w:val="both"/>
        <w:ind w:right="200"/>
        <w:spacing w:after="0" w:line="266" w:lineRule="auto"/>
        <w:rPr>
          <w:sz w:val="20"/>
          <w:szCs w:val="20"/>
          <w:color w:val="auto"/>
        </w:rPr>
      </w:pPr>
      <w:r>
        <w:rPr>
          <w:rFonts w:ascii="Arial" w:cs="Arial" w:eastAsia="Arial" w:hAnsi="Arial"/>
          <w:sz w:val="16"/>
          <w:szCs w:val="16"/>
          <w:color w:val="auto"/>
        </w:rPr>
        <w:t>The Board of Directors has determined that all of the members of the Board of Directors, with the exception of Alex Grinberg and Efraim Grinberg, representing a majority of the entire Board of Directors, are independent under the NYSE listing standards and satisfy the Company’s standards set forth above.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addition, in accordance with the NYSE listing standards, the Board of Directors has determined that the Compensation and Human Capital Committee and Nominating, Governance and Corporate Responsibility Committee are composed entirely of independent directors. The Board of Directors has also determined that each member of the Audit Committee is independent under the applicable rules of the SEC and under the NYSE listing standards.</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EXECUTIVE SESSIONS OF NON-MANAGEMENT DIRECTORS</w:t>
      </w:r>
    </w:p>
    <w:p>
      <w:pPr>
        <w:spacing w:after="0" w:line="73"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non-management directors hold regular executive sessions without management at least once each quarter. The lead director is designated to chair these executive sessions under the Company’s Corporate Governance Guidelines.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Movado Group, Inc.        14</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OF DIRECTORS ROLE IN RISK OVERSIGHT</w:t>
      </w:r>
    </w:p>
    <w:p>
      <w:pPr>
        <w:spacing w:after="0" w:line="7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While management is responsible for managing the various risks that may arise in the course of the Company’s business, the Board of Directors has a role in the oversight of the risk management process. The Board of Directors and, as appropriate, its committees, regularly meet to receive and discuss operating and financial reports presented by the Chair of the Board of Directors and Chief Executive Officer, the Chief Financial Officer, the Chief Operating Officer, the General Counsel, the Chief Human Resources Officer, the Chief Technology Officer, the Vice President of Internal Audit and Business Controls and numerous other officers and employees of the Company as well as experts and other advisors. In addition, each year management presents a budget and business plan for the following fiscal year which is reviewed by and discussed with the Board of Directors. Management also regularly discusses with the Board of Directors strategic initiatives and the associated risks. The Board of Directors also reviews specific risk areas on a regular basis. These include insured risks, disaster recovery, management authority and internal controls, litigation risks, risks associated with the Company’s information systems and data privacy, foreign currency risks, risks associated with the Company’s customer mix, supply chain and credit risks, inventory risks and other operational and financial risks. In particular, at least once each quarter the Board or the Audit Committee receives and discusses a cyber-security risk presentation and a data privacy presentation. These presentations include an update on the Company’s ongoing initiatives to raise employee awareness of information security risks. The Audit Committee has particular oversight responsibility with respect to the preparation and audit of the Company’s financial statements and internal audit issues and is specifically charged in its charter to, and does, discuss with management and the independent auditor the Company’s policies with respect to risk assessment and risk management. The Audit Committee concerns itself most specifically with the integrity of the financial reporting process, but also with personnel, asset and information security risk. All committee meetings are open to the non-employee directors.</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CLAWBACK POLICY</w:t>
      </w:r>
    </w:p>
    <w:p>
      <w:pPr>
        <w:spacing w:after="0" w:line="73" w:lineRule="exact"/>
        <w:rPr>
          <w:sz w:val="20"/>
          <w:szCs w:val="20"/>
          <w:color w:val="auto"/>
        </w:rPr>
      </w:pPr>
    </w:p>
    <w:p>
      <w:pPr>
        <w:ind w:right="340"/>
        <w:spacing w:after="0" w:line="256" w:lineRule="auto"/>
        <w:rPr>
          <w:sz w:val="20"/>
          <w:szCs w:val="20"/>
          <w:color w:val="auto"/>
        </w:rPr>
      </w:pPr>
      <w:r>
        <w:rPr>
          <w:rFonts w:ascii="Arial" w:cs="Arial" w:eastAsia="Arial" w:hAnsi="Arial"/>
          <w:sz w:val="16"/>
          <w:szCs w:val="16"/>
          <w:color w:val="auto"/>
        </w:rPr>
        <w:t>The Company maintains a “clawback” policy pursuant to which it is obligated to recoup any excess incentive compensation received by a current or former executive officer after October 2, 2023, in the event that the Company restates its financial statements. The amount to be recouped would be the incentive compensation received by the executive officer during the three fiscal years immediately preceding the date on which the need for a restatement arises over the amount he or she would have received based on the restated results.</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RISK ASSESSMENT</w:t>
      </w:r>
    </w:p>
    <w:p>
      <w:pPr>
        <w:spacing w:after="0" w:line="7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We reviewed our executive compensation plans and processes and believe that the performance goals and incentive plan structures established under the Company’s executive, annual and long-term incentive programs do not contribute to excessive risk taking by our senior executives or employees. The approved goals under our incentive programs are consistent with our financial operating plans and strategies, and these programs are discussed and reviewed by the Compensation and Human Capital Committee. The Company’s compensation systems are balanced, rewarding both short-term and long-term performance, and its performance goals are team oriented rather than individually focused, and include measurable factors and objective criteria. The Compensation and Human Capital Committee is actively engaged in setting compensation systems, monitoring those systems during the year and using discretion in making rewards, as necessary.</w:t>
      </w:r>
    </w:p>
    <w:p>
      <w:pPr>
        <w:spacing w:after="0" w:line="129" w:lineRule="exact"/>
        <w:rPr>
          <w:sz w:val="20"/>
          <w:szCs w:val="20"/>
          <w:color w:val="auto"/>
        </w:rPr>
      </w:pPr>
    </w:p>
    <w:p>
      <w:pPr>
        <w:ind w:right="200"/>
        <w:spacing w:after="0" w:line="266" w:lineRule="auto"/>
        <w:rPr>
          <w:sz w:val="20"/>
          <w:szCs w:val="20"/>
          <w:color w:val="auto"/>
        </w:rPr>
      </w:pPr>
      <w:r>
        <w:rPr>
          <w:rFonts w:ascii="Arial" w:cs="Arial" w:eastAsia="Arial" w:hAnsi="Arial"/>
          <w:sz w:val="16"/>
          <w:szCs w:val="16"/>
          <w:color w:val="auto"/>
        </w:rPr>
        <w:t>As a result of the procedures and practices described above, the Committee believes that the Company’s compensation policies and practices for its employees do not encourage risk taking that is reasonably likely to have a material adverse effect on the Company.</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ENVIRONMENTAL, SOCIAL AND GOVERNANCE RESPONSIBILITY</w:t>
      </w:r>
    </w:p>
    <w:p>
      <w:pPr>
        <w:spacing w:after="0" w:line="86"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Throughout its history, the Company’s environmental, social, and governance (“ESG”) activities have been grounded in its commitment to behave ethically, to manage responsibly, and to improve the quality of life of those within its influence. In fiscal year 2022, the Company adopted a Corporate Responsibility strategy and established ESG goals for its fiscal years 2023 through 2026. These ESG goals have been incorporated into the Company’s “Make Time” Corporate Responsibility strategic plan. The Nominating, Governance and Corporate Responsibility Committee provides strategic vision and oversight; an executive steering committee comprised of the Company’s Chief Executive Officer, Chief Financial Officer, Chief Human Resources Officer, and General Counsel approves plan strategy; the Company’s Director of Corporate Responsibility leads overall plan development, management, tracking and reporting; and plan execution is spread among functional leaders and teams throughout the global enterprise.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Movado Group, Inc.        15</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The Company periodically issues Corporate Responsibility Reports, which include information about its corporate responsibility strategy, plan and goals, as well as information about the Company’s ESG efforts during the relevant reporting period. To read the Company’s most recent Corporate Responsibility Report, please visit www.movadogroup.com/corporate-responsibility. Such materials are not to be deemed to be “soliciting material” or to be “filed” with the SEC or subject to Regulation 14A or 14C or to the liabilities of Section 18 of the Exchange Act.</w:t>
      </w:r>
    </w:p>
    <w:p>
      <w:pPr>
        <w:spacing w:after="0" w:line="3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COMMUNICATIONS WITH THE BOARD OF DIRECTORS</w:t>
      </w:r>
    </w:p>
    <w:p>
      <w:pPr>
        <w:spacing w:after="0" w:line="73"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Shareholders and other interested parties desiring to communicate directly with the full Board of Directors, the Audit Committee, the non-employee directors as a group or with any individual director or directors may do so by sending such communication in writing addressed to the attention of the intended recipient(s), c/o Secretary and General Counsel, Movado Group, Inc., 650 From Road, Ste. 375, Paramus, NJ 07652-3556. Interested parties may communicate anonymously and/or confidentially if they desire. All communications received that relate to accounting, internal accounting controls or auditing matters will be referred to the Chair of the Audit Committee unless the communication is otherwise addressed. All other communications received will be forwarded to the appropriate director or directors.</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ATTENDANCE AT ANNUAL MEETING</w:t>
      </w:r>
    </w:p>
    <w:p>
      <w:pPr>
        <w:spacing w:after="0" w:line="73" w:lineRule="exact"/>
        <w:rPr>
          <w:sz w:val="20"/>
          <w:szCs w:val="20"/>
          <w:color w:val="auto"/>
        </w:rPr>
      </w:pPr>
    </w:p>
    <w:p>
      <w:pPr>
        <w:jc w:val="both"/>
        <w:ind w:right="40"/>
        <w:spacing w:after="0" w:line="266" w:lineRule="auto"/>
        <w:rPr>
          <w:sz w:val="20"/>
          <w:szCs w:val="20"/>
          <w:color w:val="auto"/>
        </w:rPr>
      </w:pPr>
      <w:r>
        <w:rPr>
          <w:rFonts w:ascii="Arial" w:cs="Arial" w:eastAsia="Arial" w:hAnsi="Arial"/>
          <w:sz w:val="16"/>
          <w:szCs w:val="16"/>
          <w:color w:val="auto"/>
        </w:rPr>
        <w:t>The Company encourages all of the directors to attend the annual meeting of shareholders. To the extent reasonably practicable, the Company regularly schedules a meeting of the Board of Directors on the same day as the annual meeting. All of the members of the Board of Directors attended the 2025 Annual Meeting of Shareholders.</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Movado Group, Inc.        16</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40" w:top="114" w:right="1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50"/>
          <w:szCs w:val="50"/>
          <w:b w:val="1"/>
          <w:bCs w:val="1"/>
          <w:color w:val="D9BA05"/>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59664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names of the executive officers of the Company (and their respective ages as of the date of this proxy statement) are set forth below, together with the positions held by each during the past five years.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80" w:type="dxa"/>
            <w:vAlign w:val="bottom"/>
          </w:tcPr>
          <w:p>
            <w:pPr>
              <w:ind w:left="160"/>
              <w:spacing w:after="0"/>
              <w:rPr>
                <w:sz w:val="20"/>
                <w:szCs w:val="20"/>
                <w:color w:val="auto"/>
              </w:rPr>
            </w:pPr>
            <w:r>
              <w:rPr>
                <w:rFonts w:ascii="Arial" w:cs="Arial" w:eastAsia="Arial" w:hAnsi="Arial"/>
                <w:sz w:val="13"/>
                <w:szCs w:val="13"/>
                <w:b w:val="1"/>
                <w:bCs w:val="1"/>
                <w:color w:val="auto"/>
              </w:rPr>
              <w:t>NAME</w:t>
            </w:r>
          </w:p>
        </w:tc>
        <w:tc>
          <w:tcPr>
            <w:tcW w:w="1280" w:type="dxa"/>
            <w:vAlign w:val="bottom"/>
          </w:tcPr>
          <w:p>
            <w:pPr>
              <w:jc w:val="center"/>
              <w:ind w:left="130"/>
              <w:spacing w:after="0"/>
              <w:rPr>
                <w:sz w:val="20"/>
                <w:szCs w:val="20"/>
                <w:color w:val="auto"/>
              </w:rPr>
            </w:pPr>
            <w:r>
              <w:rPr>
                <w:rFonts w:ascii="Arial" w:cs="Arial" w:eastAsia="Arial" w:hAnsi="Arial"/>
                <w:sz w:val="13"/>
                <w:szCs w:val="13"/>
                <w:b w:val="1"/>
                <w:bCs w:val="1"/>
                <w:color w:val="auto"/>
                <w:w w:val="99"/>
              </w:rPr>
              <w:t>AGE</w:t>
            </w:r>
          </w:p>
        </w:tc>
        <w:tc>
          <w:tcPr>
            <w:tcW w:w="6040" w:type="dxa"/>
            <w:vAlign w:val="bottom"/>
          </w:tcPr>
          <w:p>
            <w:pPr>
              <w:ind w:left="420"/>
              <w:spacing w:after="0"/>
              <w:rPr>
                <w:sz w:val="20"/>
                <w:szCs w:val="20"/>
                <w:color w:val="auto"/>
              </w:rPr>
            </w:pPr>
            <w:r>
              <w:rPr>
                <w:rFonts w:ascii="Arial" w:cs="Arial" w:eastAsia="Arial" w:hAnsi="Arial"/>
                <w:sz w:val="13"/>
                <w:szCs w:val="13"/>
                <w:b w:val="1"/>
                <w:bCs w:val="1"/>
                <w:color w:val="auto"/>
              </w:rPr>
              <w:t>POSITION</w:t>
            </w:r>
          </w:p>
        </w:tc>
      </w:tr>
      <w:tr>
        <w:trPr>
          <w:trHeight w:val="62"/>
        </w:trPr>
        <w:tc>
          <w:tcPr>
            <w:tcW w:w="20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6040" w:type="dxa"/>
            <w:vAlign w:val="bottom"/>
          </w:tcPr>
          <w:p>
            <w:pPr>
              <w:spacing w:after="0"/>
              <w:rPr>
                <w:sz w:val="5"/>
                <w:szCs w:val="5"/>
                <w:color w:val="auto"/>
              </w:rPr>
            </w:pPr>
          </w:p>
        </w:tc>
      </w:tr>
      <w:tr>
        <w:trPr>
          <w:trHeight w:val="304"/>
        </w:trPr>
        <w:tc>
          <w:tcPr>
            <w:tcW w:w="208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b w:val="1"/>
                <w:bCs w:val="1"/>
                <w:color w:val="auto"/>
              </w:rPr>
              <w:t>Efraim Grinberg</w:t>
            </w:r>
          </w:p>
        </w:tc>
        <w:tc>
          <w:tcPr>
            <w:tcW w:w="1280" w:type="dxa"/>
            <w:vAlign w:val="bottom"/>
            <w:tcBorders>
              <w:bottom w:val="single" w:sz="8" w:color="E6E6E6"/>
            </w:tcBorders>
            <w:shd w:val="clear" w:color="auto" w:fill="E6E6E6"/>
          </w:tcPr>
          <w:p>
            <w:pPr>
              <w:jc w:val="center"/>
              <w:ind w:left="130"/>
              <w:spacing w:after="0"/>
              <w:rPr>
                <w:sz w:val="20"/>
                <w:szCs w:val="20"/>
                <w:color w:val="auto"/>
              </w:rPr>
            </w:pPr>
            <w:r>
              <w:rPr>
                <w:rFonts w:ascii="Arial" w:cs="Arial" w:eastAsia="Arial" w:hAnsi="Arial"/>
                <w:sz w:val="14"/>
                <w:szCs w:val="14"/>
                <w:color w:val="auto"/>
              </w:rPr>
              <w:t>68</w:t>
            </w:r>
          </w:p>
        </w:tc>
        <w:tc>
          <w:tcPr>
            <w:tcW w:w="6040" w:type="dxa"/>
            <w:vAlign w:val="bottom"/>
            <w:tcBorders>
              <w:bottom w:val="single" w:sz="8" w:color="E6E6E6"/>
            </w:tcBorders>
            <w:shd w:val="clear" w:color="auto" w:fill="E6E6E6"/>
          </w:tcPr>
          <w:p>
            <w:pPr>
              <w:ind w:left="420"/>
              <w:spacing w:after="0"/>
              <w:rPr>
                <w:sz w:val="20"/>
                <w:szCs w:val="20"/>
                <w:color w:val="auto"/>
              </w:rPr>
            </w:pPr>
            <w:r>
              <w:rPr>
                <w:rFonts w:ascii="Arial" w:cs="Arial" w:eastAsia="Arial" w:hAnsi="Arial"/>
                <w:sz w:val="14"/>
                <w:szCs w:val="14"/>
                <w:color w:val="auto"/>
              </w:rPr>
              <w:t>Chair and Chief Executive Officer</w:t>
            </w:r>
          </w:p>
        </w:tc>
      </w:tr>
      <w:tr>
        <w:trPr>
          <w:trHeight w:val="254"/>
        </w:trPr>
        <w:tc>
          <w:tcPr>
            <w:tcW w:w="2080" w:type="dxa"/>
            <w:vAlign w:val="bottom"/>
          </w:tcPr>
          <w:p>
            <w:pPr>
              <w:ind w:left="160"/>
              <w:spacing w:after="0"/>
              <w:rPr>
                <w:sz w:val="20"/>
                <w:szCs w:val="20"/>
                <w:color w:val="auto"/>
              </w:rPr>
            </w:pPr>
            <w:r>
              <w:rPr>
                <w:rFonts w:ascii="Arial" w:cs="Arial" w:eastAsia="Arial" w:hAnsi="Arial"/>
                <w:sz w:val="14"/>
                <w:szCs w:val="14"/>
                <w:b w:val="1"/>
                <w:bCs w:val="1"/>
                <w:color w:val="auto"/>
              </w:rPr>
              <w:t>Sallie A. DeMarsilis</w:t>
            </w:r>
          </w:p>
        </w:tc>
        <w:tc>
          <w:tcPr>
            <w:tcW w:w="1280" w:type="dxa"/>
            <w:vAlign w:val="bottom"/>
          </w:tcPr>
          <w:p>
            <w:pPr>
              <w:jc w:val="center"/>
              <w:ind w:left="130"/>
              <w:spacing w:after="0"/>
              <w:rPr>
                <w:sz w:val="20"/>
                <w:szCs w:val="20"/>
                <w:color w:val="auto"/>
              </w:rPr>
            </w:pPr>
            <w:r>
              <w:rPr>
                <w:rFonts w:ascii="Arial" w:cs="Arial" w:eastAsia="Arial" w:hAnsi="Arial"/>
                <w:sz w:val="14"/>
                <w:szCs w:val="14"/>
                <w:color w:val="auto"/>
              </w:rPr>
              <w:t>61</w:t>
            </w:r>
          </w:p>
        </w:tc>
        <w:tc>
          <w:tcPr>
            <w:tcW w:w="6040" w:type="dxa"/>
            <w:vAlign w:val="bottom"/>
          </w:tcPr>
          <w:p>
            <w:pPr>
              <w:ind w:left="420"/>
              <w:spacing w:after="0"/>
              <w:rPr>
                <w:sz w:val="20"/>
                <w:szCs w:val="20"/>
                <w:color w:val="auto"/>
              </w:rPr>
            </w:pPr>
            <w:r>
              <w:rPr>
                <w:rFonts w:ascii="Arial" w:cs="Arial" w:eastAsia="Arial" w:hAnsi="Arial"/>
                <w:sz w:val="14"/>
                <w:szCs w:val="14"/>
                <w:color w:val="auto"/>
              </w:rPr>
              <w:t>Executive Vice President, Chief Financial Officer</w:t>
            </w:r>
          </w:p>
        </w:tc>
      </w:tr>
      <w:tr>
        <w:trPr>
          <w:trHeight w:val="56"/>
        </w:trPr>
        <w:tc>
          <w:tcPr>
            <w:tcW w:w="20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40" w:type="dxa"/>
            <w:vAlign w:val="bottom"/>
          </w:tcPr>
          <w:p>
            <w:pPr>
              <w:spacing w:after="0"/>
              <w:rPr>
                <w:sz w:val="4"/>
                <w:szCs w:val="4"/>
                <w:color w:val="auto"/>
              </w:rPr>
            </w:pPr>
          </w:p>
        </w:tc>
      </w:tr>
      <w:tr>
        <w:trPr>
          <w:trHeight w:val="291"/>
        </w:trPr>
        <w:tc>
          <w:tcPr>
            <w:tcW w:w="208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b w:val="1"/>
                <w:bCs w:val="1"/>
                <w:color w:val="auto"/>
              </w:rPr>
              <w:t>Michelle Kennedy</w:t>
            </w:r>
          </w:p>
        </w:tc>
        <w:tc>
          <w:tcPr>
            <w:tcW w:w="1280" w:type="dxa"/>
            <w:vAlign w:val="bottom"/>
            <w:tcBorders>
              <w:bottom w:val="single" w:sz="8" w:color="E6E6E6"/>
            </w:tcBorders>
            <w:shd w:val="clear" w:color="auto" w:fill="E6E6E6"/>
          </w:tcPr>
          <w:p>
            <w:pPr>
              <w:jc w:val="center"/>
              <w:ind w:left="130"/>
              <w:spacing w:after="0"/>
              <w:rPr>
                <w:sz w:val="20"/>
                <w:szCs w:val="20"/>
                <w:color w:val="auto"/>
              </w:rPr>
            </w:pPr>
            <w:r>
              <w:rPr>
                <w:rFonts w:ascii="Arial" w:cs="Arial" w:eastAsia="Arial" w:hAnsi="Arial"/>
                <w:sz w:val="14"/>
                <w:szCs w:val="14"/>
                <w:color w:val="auto"/>
              </w:rPr>
              <w:t>59</w:t>
            </w:r>
          </w:p>
        </w:tc>
        <w:tc>
          <w:tcPr>
            <w:tcW w:w="6040" w:type="dxa"/>
            <w:vAlign w:val="bottom"/>
            <w:tcBorders>
              <w:bottom w:val="single" w:sz="8" w:color="E6E6E6"/>
            </w:tcBorders>
            <w:shd w:val="clear" w:color="auto" w:fill="E6E6E6"/>
          </w:tcPr>
          <w:p>
            <w:pPr>
              <w:ind w:left="420"/>
              <w:spacing w:after="0"/>
              <w:rPr>
                <w:sz w:val="20"/>
                <w:szCs w:val="20"/>
                <w:color w:val="auto"/>
              </w:rPr>
            </w:pPr>
            <w:r>
              <w:rPr>
                <w:rFonts w:ascii="Arial" w:cs="Arial" w:eastAsia="Arial" w:hAnsi="Arial"/>
                <w:sz w:val="14"/>
                <w:szCs w:val="14"/>
                <w:color w:val="auto"/>
              </w:rPr>
              <w:t>Senior Vice President, Chief Human Resources Officer</w:t>
            </w:r>
          </w:p>
        </w:tc>
      </w:tr>
      <w:tr>
        <w:trPr>
          <w:trHeight w:val="254"/>
        </w:trPr>
        <w:tc>
          <w:tcPr>
            <w:tcW w:w="2080" w:type="dxa"/>
            <w:vAlign w:val="bottom"/>
          </w:tcPr>
          <w:p>
            <w:pPr>
              <w:ind w:left="160"/>
              <w:spacing w:after="0"/>
              <w:rPr>
                <w:sz w:val="20"/>
                <w:szCs w:val="20"/>
                <w:color w:val="auto"/>
              </w:rPr>
            </w:pPr>
            <w:r>
              <w:rPr>
                <w:rFonts w:ascii="Arial" w:cs="Arial" w:eastAsia="Arial" w:hAnsi="Arial"/>
                <w:sz w:val="14"/>
                <w:szCs w:val="14"/>
                <w:b w:val="1"/>
                <w:bCs w:val="1"/>
                <w:color w:val="auto"/>
              </w:rPr>
              <w:t>Behzad Soltani</w:t>
            </w:r>
          </w:p>
        </w:tc>
        <w:tc>
          <w:tcPr>
            <w:tcW w:w="1280" w:type="dxa"/>
            <w:vAlign w:val="bottom"/>
          </w:tcPr>
          <w:p>
            <w:pPr>
              <w:jc w:val="center"/>
              <w:ind w:left="130"/>
              <w:spacing w:after="0"/>
              <w:rPr>
                <w:sz w:val="20"/>
                <w:szCs w:val="20"/>
                <w:color w:val="auto"/>
              </w:rPr>
            </w:pPr>
            <w:r>
              <w:rPr>
                <w:rFonts w:ascii="Arial" w:cs="Arial" w:eastAsia="Arial" w:hAnsi="Arial"/>
                <w:sz w:val="14"/>
                <w:szCs w:val="14"/>
                <w:color w:val="auto"/>
              </w:rPr>
              <w:t>54</w:t>
            </w:r>
          </w:p>
        </w:tc>
        <w:tc>
          <w:tcPr>
            <w:tcW w:w="6040" w:type="dxa"/>
            <w:vAlign w:val="bottom"/>
          </w:tcPr>
          <w:p>
            <w:pPr>
              <w:ind w:left="420"/>
              <w:spacing w:after="0"/>
              <w:rPr>
                <w:sz w:val="20"/>
                <w:szCs w:val="20"/>
                <w:color w:val="auto"/>
              </w:rPr>
            </w:pPr>
            <w:r>
              <w:rPr>
                <w:rFonts w:ascii="Arial" w:cs="Arial" w:eastAsia="Arial" w:hAnsi="Arial"/>
                <w:sz w:val="14"/>
                <w:szCs w:val="14"/>
                <w:color w:val="auto"/>
              </w:rPr>
              <w:t>Executive Vice President, Chief Operating Officer</w:t>
            </w:r>
          </w:p>
        </w:tc>
      </w:tr>
      <w:tr>
        <w:trPr>
          <w:trHeight w:val="56"/>
        </w:trPr>
        <w:tc>
          <w:tcPr>
            <w:tcW w:w="20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040" w:type="dxa"/>
            <w:vAlign w:val="bottom"/>
          </w:tcPr>
          <w:p>
            <w:pPr>
              <w:spacing w:after="0"/>
              <w:rPr>
                <w:sz w:val="4"/>
                <w:szCs w:val="4"/>
                <w:color w:val="auto"/>
              </w:rPr>
            </w:pPr>
          </w:p>
        </w:tc>
      </w:tr>
      <w:tr>
        <w:trPr>
          <w:trHeight w:val="263"/>
        </w:trPr>
        <w:tc>
          <w:tcPr>
            <w:tcW w:w="208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b w:val="1"/>
                <w:bCs w:val="1"/>
                <w:color w:val="auto"/>
              </w:rPr>
              <w:t>Mitchell C. Sussis</w:t>
            </w:r>
          </w:p>
        </w:tc>
        <w:tc>
          <w:tcPr>
            <w:tcW w:w="1280" w:type="dxa"/>
            <w:vAlign w:val="bottom"/>
            <w:tcBorders>
              <w:bottom w:val="single" w:sz="8" w:color="E6E6E6"/>
            </w:tcBorders>
            <w:shd w:val="clear" w:color="auto" w:fill="E6E6E6"/>
          </w:tcPr>
          <w:p>
            <w:pPr>
              <w:jc w:val="center"/>
              <w:ind w:left="130"/>
              <w:spacing w:after="0"/>
              <w:rPr>
                <w:sz w:val="20"/>
                <w:szCs w:val="20"/>
                <w:color w:val="auto"/>
              </w:rPr>
            </w:pPr>
            <w:r>
              <w:rPr>
                <w:rFonts w:ascii="Arial" w:cs="Arial" w:eastAsia="Arial" w:hAnsi="Arial"/>
                <w:sz w:val="14"/>
                <w:szCs w:val="14"/>
                <w:color w:val="auto"/>
              </w:rPr>
              <w:t>61</w:t>
            </w:r>
          </w:p>
        </w:tc>
        <w:tc>
          <w:tcPr>
            <w:tcW w:w="6040" w:type="dxa"/>
            <w:vAlign w:val="bottom"/>
            <w:tcBorders>
              <w:bottom w:val="single" w:sz="8" w:color="E6E6E6"/>
            </w:tcBorders>
            <w:shd w:val="clear" w:color="auto" w:fill="E6E6E6"/>
          </w:tcPr>
          <w:p>
            <w:pPr>
              <w:ind w:left="420"/>
              <w:spacing w:after="0"/>
              <w:rPr>
                <w:sz w:val="20"/>
                <w:szCs w:val="20"/>
                <w:color w:val="auto"/>
              </w:rPr>
            </w:pPr>
            <w:r>
              <w:rPr>
                <w:rFonts w:ascii="Arial" w:cs="Arial" w:eastAsia="Arial" w:hAnsi="Arial"/>
                <w:sz w:val="14"/>
                <w:szCs w:val="14"/>
                <w:color w:val="auto"/>
              </w:rPr>
              <w:t>Senior Vice President, General Counsel and Secretary</w:t>
            </w:r>
          </w:p>
        </w:tc>
      </w:tr>
      <w:tr>
        <w:trPr>
          <w:trHeight w:val="20"/>
        </w:trPr>
        <w:tc>
          <w:tcPr>
            <w:tcW w:w="2080" w:type="dxa"/>
            <w:vAlign w:val="bottom"/>
            <w:shd w:val="clear" w:color="auto" w:fill="D9BA05"/>
          </w:tcPr>
          <w:p>
            <w:pPr>
              <w:spacing w:after="0" w:line="20" w:lineRule="exact"/>
              <w:rPr>
                <w:sz w:val="1"/>
                <w:szCs w:val="1"/>
                <w:color w:val="auto"/>
              </w:rPr>
            </w:pPr>
          </w:p>
        </w:tc>
        <w:tc>
          <w:tcPr>
            <w:tcW w:w="1280" w:type="dxa"/>
            <w:vAlign w:val="bottom"/>
            <w:shd w:val="clear" w:color="auto" w:fill="D9BA05"/>
          </w:tcPr>
          <w:p>
            <w:pPr>
              <w:spacing w:after="0" w:line="20" w:lineRule="exact"/>
              <w:rPr>
                <w:sz w:val="1"/>
                <w:szCs w:val="1"/>
                <w:color w:val="auto"/>
              </w:rPr>
            </w:pPr>
          </w:p>
        </w:tc>
        <w:tc>
          <w:tcPr>
            <w:tcW w:w="6040" w:type="dxa"/>
            <w:vAlign w:val="bottom"/>
            <w:shd w:val="clear" w:color="auto" w:fill="D9BA05"/>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400"/>
          </w:cols>
          <w:pgMar w:left="1240" w:top="114" w:right="1259" w:bottom="1440" w:gutter="0" w:footer="0" w:header="0"/>
        </w:sectPr>
      </w:pPr>
    </w:p>
    <w:p>
      <w:pPr>
        <w:spacing w:after="0" w:line="204" w:lineRule="exact"/>
        <w:rPr>
          <w:sz w:val="20"/>
          <w:szCs w:val="20"/>
          <w:color w:val="auto"/>
        </w:rPr>
      </w:pPr>
    </w:p>
    <w:p>
      <w:pPr>
        <w:ind w:right="60"/>
        <w:spacing w:after="0" w:line="296" w:lineRule="auto"/>
        <w:rPr>
          <w:sz w:val="20"/>
          <w:szCs w:val="20"/>
          <w:color w:val="auto"/>
        </w:rPr>
      </w:pPr>
      <w:r>
        <w:rPr>
          <w:rFonts w:ascii="Arial" w:cs="Arial" w:eastAsia="Arial" w:hAnsi="Arial"/>
          <w:sz w:val="32"/>
          <w:szCs w:val="32"/>
          <w:color w:val="D9BA05"/>
        </w:rPr>
        <w:t xml:space="preserve">Efraim </w:t>
      </w:r>
      <w:r>
        <w:rPr>
          <w:rFonts w:ascii="Arial" w:cs="Arial" w:eastAsia="Arial" w:hAnsi="Arial"/>
          <w:sz w:val="32"/>
          <w:szCs w:val="32"/>
          <w:b w:val="1"/>
          <w:bCs w:val="1"/>
          <w:color w:val="D9BA05"/>
        </w:rPr>
        <w:t>Grinberg</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Chair and Chief Executive Officer |  Age: 68</w:t>
      </w:r>
    </w:p>
    <w:p>
      <w:pPr>
        <w:spacing w:after="0" w:line="122" w:lineRule="exact"/>
        <w:rPr>
          <w:sz w:val="20"/>
          <w:szCs w:val="20"/>
          <w:color w:val="auto"/>
        </w:rPr>
      </w:pPr>
    </w:p>
    <w:p>
      <w:pPr>
        <w:ind w:right="40"/>
        <w:spacing w:after="0" w:line="231" w:lineRule="auto"/>
        <w:rPr>
          <w:sz w:val="20"/>
          <w:szCs w:val="20"/>
          <w:color w:val="auto"/>
        </w:rPr>
      </w:pPr>
      <w:r>
        <w:rPr>
          <w:rFonts w:ascii="Arial" w:cs="Arial" w:eastAsia="Arial" w:hAnsi="Arial"/>
          <w:sz w:val="16"/>
          <w:szCs w:val="16"/>
          <w:b w:val="1"/>
          <w:bCs w:val="1"/>
          <w:color w:val="D9BA05"/>
        </w:rPr>
        <w:t xml:space="preserve">Mr. E. Grinberg </w:t>
      </w:r>
      <w:r>
        <w:rPr>
          <w:rFonts w:ascii="Arial" w:cs="Arial" w:eastAsia="Arial" w:hAnsi="Arial"/>
          <w:sz w:val="16"/>
          <w:szCs w:val="16"/>
          <w:color w:val="000000"/>
        </w:rPr>
        <w:t>joined the Company in June 1980 and served as the Company’s Vice President of</w:t>
      </w:r>
      <w:r>
        <w:rPr>
          <w:rFonts w:ascii="Arial" w:cs="Arial" w:eastAsia="Arial" w:hAnsi="Arial"/>
          <w:sz w:val="16"/>
          <w:szCs w:val="16"/>
          <w:b w:val="1"/>
          <w:bCs w:val="1"/>
          <w:color w:val="D9BA05"/>
        </w:rPr>
        <w:t xml:space="preserve"> </w:t>
      </w:r>
      <w:r>
        <w:rPr>
          <w:rFonts w:ascii="Arial" w:cs="Arial" w:eastAsia="Arial" w:hAnsi="Arial"/>
          <w:sz w:val="16"/>
          <w:szCs w:val="16"/>
          <w:color w:val="000000"/>
        </w:rPr>
        <w:t>Marketing from February 1985 until July 1986, at which time he was elected to the position of Senior Vice President of Marketing. From June 1990 to October 1995, Mr. E. Grinberg served as the Company’s President and Chief Operating Officer and, from October 1995 until May 2001, served as the Company’s President. In May 2001, Mr. E. Grinberg was elected to the position of President and Chief Executive Officer and, in addition, effective January 31, 2009, he was elected Chair of the Board of Directors. In March 2010 Mr. E. Grinberg resigned as President. He continues to serve as the Company’s Chair of the Board of Directors and Chief Executive Officer.</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Mr. E. Grinberg also serves on the Boards of Directors of Lincoln Center for the Performing Arts, Inc., Partnership for New York City, and the Breast Cancer Research Foundation.</w:t>
      </w:r>
    </w:p>
    <w:p>
      <w:pPr>
        <w:spacing w:after="0" w:line="9" w:lineRule="exact"/>
        <w:rPr>
          <w:sz w:val="20"/>
          <w:szCs w:val="20"/>
          <w:color w:val="auto"/>
        </w:rPr>
      </w:pPr>
    </w:p>
    <w:p>
      <w:pPr>
        <w:sectPr>
          <w:pgSz w:w="11900" w:h="16838" w:orient="portrait"/>
          <w:cols w:equalWidth="0" w:num="2">
            <w:col w:w="1440" w:space="720"/>
            <w:col w:w="7240"/>
          </w:cols>
          <w:pgMar w:left="1240" w:top="114" w:right="1259" w:bottom="1440" w:gutter="0" w:footer="0" w:header="0"/>
          <w:type w:val="continuous"/>
        </w:sectPr>
      </w:pPr>
    </w:p>
    <w:p>
      <w:pPr>
        <w:spacing w:after="0" w:line="296" w:lineRule="auto"/>
        <w:rPr>
          <w:sz w:val="20"/>
          <w:szCs w:val="20"/>
          <w:color w:val="auto"/>
        </w:rPr>
      </w:pPr>
      <w:r>
        <w:rPr>
          <w:rFonts w:ascii="Arial" w:cs="Arial" w:eastAsia="Arial" w:hAnsi="Arial"/>
          <w:sz w:val="32"/>
          <w:szCs w:val="32"/>
          <w:color w:val="D9BA05"/>
        </w:rPr>
        <w:t xml:space="preserve">Sallie A. </w:t>
      </w:r>
      <w:r>
        <w:rPr>
          <w:rFonts w:ascii="Arial" w:cs="Arial" w:eastAsia="Arial" w:hAnsi="Arial"/>
          <w:sz w:val="32"/>
          <w:szCs w:val="32"/>
          <w:b w:val="1"/>
          <w:bCs w:val="1"/>
          <w:color w:val="D9BA05"/>
        </w:rPr>
        <w:t>DeMarsilis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Executive Vice President, Chief Financial Officer |  Age: 61</w:t>
      </w:r>
    </w:p>
    <w:p>
      <w:pPr>
        <w:spacing w:after="0" w:line="122" w:lineRule="exact"/>
        <w:rPr>
          <w:sz w:val="20"/>
          <w:szCs w:val="20"/>
          <w:color w:val="auto"/>
        </w:rPr>
      </w:pPr>
    </w:p>
    <w:p>
      <w:pPr>
        <w:ind w:right="20"/>
        <w:spacing w:after="0" w:line="229" w:lineRule="auto"/>
        <w:rPr>
          <w:sz w:val="20"/>
          <w:szCs w:val="20"/>
          <w:color w:val="auto"/>
        </w:rPr>
      </w:pPr>
      <w:r>
        <w:rPr>
          <w:rFonts w:ascii="Arial" w:cs="Arial" w:eastAsia="Arial" w:hAnsi="Arial"/>
          <w:sz w:val="16"/>
          <w:szCs w:val="16"/>
          <w:b w:val="1"/>
          <w:bCs w:val="1"/>
          <w:color w:val="D9BA05"/>
        </w:rPr>
        <w:t xml:space="preserve">Ms. DeMarsilis </w:t>
      </w:r>
      <w:r>
        <w:rPr>
          <w:rFonts w:ascii="Arial" w:cs="Arial" w:eastAsia="Arial" w:hAnsi="Arial"/>
          <w:sz w:val="16"/>
          <w:szCs w:val="16"/>
          <w:color w:val="000000"/>
        </w:rPr>
        <w:t>joined the Company in January 2008 as a Senior Vice President of Finance and was</w:t>
      </w:r>
      <w:r>
        <w:rPr>
          <w:rFonts w:ascii="Arial" w:cs="Arial" w:eastAsia="Arial" w:hAnsi="Arial"/>
          <w:sz w:val="16"/>
          <w:szCs w:val="16"/>
          <w:b w:val="1"/>
          <w:bCs w:val="1"/>
          <w:color w:val="D9BA05"/>
        </w:rPr>
        <w:t xml:space="preserve"> </w:t>
      </w:r>
      <w:r>
        <w:rPr>
          <w:rFonts w:ascii="Arial" w:cs="Arial" w:eastAsia="Arial" w:hAnsi="Arial"/>
          <w:sz w:val="16"/>
          <w:szCs w:val="16"/>
          <w:color w:val="000000"/>
        </w:rPr>
        <w:t>appointed Chief Financial Officer effective March 31, 2008. Ms. DeMarsilis was promoted to Executive Vice President in June 2020, and had primary responsibility for operations from June 2020 through September 2024. From November 1994 through December 2007, she held several senior financial positions with The Warnaco Group, Inc. and Ann Inc. (formerly known as Ann Taylor Stores Corporation), including Controller and Senior Vice President of Finance. Both The Warnaco Group, Inc. and Ann Inc. were publicly traded companies during Ms. DeMarsilis’ tenure.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Ms. DeMarsilis is a Certified Public Accountant and worked in public accounting with Deloitte for eight years before joining Ann Inc.</w:t>
      </w:r>
    </w:p>
    <w:p>
      <w:pPr>
        <w:spacing w:after="0" w:line="200" w:lineRule="exact"/>
        <w:rPr>
          <w:sz w:val="20"/>
          <w:szCs w:val="20"/>
          <w:color w:val="auto"/>
        </w:rPr>
      </w:pPr>
    </w:p>
    <w:p>
      <w:pPr>
        <w:sectPr>
          <w:pgSz w:w="11900" w:h="16838" w:orient="portrait"/>
          <w:cols w:equalWidth="0" w:num="2">
            <w:col w:w="1620" w:space="540"/>
            <w:col w:w="7240"/>
          </w:cols>
          <w:pgMar w:left="1240" w:top="114" w:right="1259" w:bottom="1440" w:gutter="0" w:footer="0" w:header="0"/>
          <w:type w:val="continuous"/>
        </w:sectPr>
      </w:pPr>
    </w:p>
    <w:p>
      <w:pPr>
        <w:spacing w:after="0" w:line="174" w:lineRule="exact"/>
        <w:rPr>
          <w:sz w:val="20"/>
          <w:szCs w:val="20"/>
          <w:color w:val="auto"/>
        </w:rPr>
      </w:pPr>
    </w:p>
    <w:p>
      <w:pPr>
        <w:ind w:right="60"/>
        <w:spacing w:after="0" w:line="296" w:lineRule="auto"/>
        <w:rPr>
          <w:sz w:val="20"/>
          <w:szCs w:val="20"/>
          <w:color w:val="auto"/>
        </w:rPr>
      </w:pPr>
      <w:r>
        <w:rPr>
          <w:rFonts w:ascii="Arial" w:cs="Arial" w:eastAsia="Arial" w:hAnsi="Arial"/>
          <w:sz w:val="32"/>
          <w:szCs w:val="32"/>
          <w:color w:val="D9BA05"/>
        </w:rPr>
        <w:t xml:space="preserve">Michelle </w:t>
      </w:r>
      <w:r>
        <w:rPr>
          <w:rFonts w:ascii="Arial" w:cs="Arial" w:eastAsia="Arial" w:hAnsi="Arial"/>
          <w:sz w:val="32"/>
          <w:szCs w:val="32"/>
          <w:b w:val="1"/>
          <w:bCs w:val="1"/>
          <w:color w:val="D9BA05"/>
        </w:rPr>
        <w:t>Kennedy</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Human Resources Officer |  Age: 59</w:t>
      </w:r>
    </w:p>
    <w:p>
      <w:pPr>
        <w:spacing w:after="0" w:line="122" w:lineRule="exact"/>
        <w:rPr>
          <w:sz w:val="20"/>
          <w:szCs w:val="20"/>
          <w:color w:val="auto"/>
        </w:rPr>
      </w:pPr>
    </w:p>
    <w:p>
      <w:pPr>
        <w:ind w:right="160"/>
        <w:spacing w:after="0" w:line="206" w:lineRule="auto"/>
        <w:rPr>
          <w:sz w:val="20"/>
          <w:szCs w:val="20"/>
          <w:color w:val="auto"/>
        </w:rPr>
      </w:pPr>
      <w:r>
        <w:rPr>
          <w:rFonts w:ascii="Arial" w:cs="Arial" w:eastAsia="Arial" w:hAnsi="Arial"/>
          <w:sz w:val="16"/>
          <w:szCs w:val="16"/>
          <w:b w:val="1"/>
          <w:bCs w:val="1"/>
          <w:color w:val="D9BA05"/>
        </w:rPr>
        <w:t xml:space="preserve">Ms. Kennedy </w:t>
      </w:r>
      <w:r>
        <w:rPr>
          <w:rFonts w:ascii="Arial" w:cs="Arial" w:eastAsia="Arial" w:hAnsi="Arial"/>
          <w:sz w:val="16"/>
          <w:szCs w:val="16"/>
          <w:color w:val="000000"/>
        </w:rPr>
        <w:t>joined the Company in May 2023 as Senior Vice President, Chief Human Resources</w:t>
      </w:r>
      <w:r>
        <w:rPr>
          <w:rFonts w:ascii="Arial" w:cs="Arial" w:eastAsia="Arial" w:hAnsi="Arial"/>
          <w:sz w:val="16"/>
          <w:szCs w:val="16"/>
          <w:b w:val="1"/>
          <w:bCs w:val="1"/>
          <w:color w:val="D9BA05"/>
        </w:rPr>
        <w:t xml:space="preserve"> </w:t>
      </w:r>
      <w:r>
        <w:rPr>
          <w:rFonts w:ascii="Arial" w:cs="Arial" w:eastAsia="Arial" w:hAnsi="Arial"/>
          <w:sz w:val="16"/>
          <w:szCs w:val="16"/>
          <w:color w:val="000000"/>
        </w:rPr>
        <w:t>Officer. Prior to joining the Company, she worked for 12 years at Williams-Sonoma, most recently serving as Senior Vice President of Human Resources.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200"/>
        <w:spacing w:after="0" w:line="265" w:lineRule="auto"/>
        <w:rPr>
          <w:sz w:val="20"/>
          <w:szCs w:val="20"/>
          <w:color w:val="auto"/>
        </w:rPr>
      </w:pPr>
      <w:r>
        <w:rPr>
          <w:rFonts w:ascii="Arial" w:cs="Arial" w:eastAsia="Arial" w:hAnsi="Arial"/>
          <w:sz w:val="16"/>
          <w:szCs w:val="16"/>
          <w:color w:val="auto"/>
        </w:rPr>
        <w:t>Prior thereto, Ms. Kennedy spent six years at Ralph Lauren, where she rose to Vice President of Human Resources, followed by six years as Vice President of Human Resources at Christian Dior.</w:t>
      </w:r>
    </w:p>
    <w:p>
      <w:pPr>
        <w:spacing w:after="0" w:line="168"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Movado Group, Inc.        17</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-1881505</wp:posOffset>
            </wp:positionH>
            <wp:positionV relativeFrom="paragraph">
              <wp:posOffset>113665</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440" w:space="720"/>
            <w:col w:w="7240"/>
          </w:cols>
          <w:pgMar w:left="1240" w:top="114" w:right="12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32"/>
          <w:szCs w:val="32"/>
          <w:color w:val="D9BA05"/>
        </w:rPr>
        <w:t>Behzad</w:t>
      </w:r>
    </w:p>
    <w:p>
      <w:pPr>
        <w:spacing w:after="0" w:line="42" w:lineRule="exact"/>
        <w:rPr>
          <w:sz w:val="20"/>
          <w:szCs w:val="20"/>
          <w:color w:val="auto"/>
        </w:rPr>
      </w:pPr>
    </w:p>
    <w:p>
      <w:pPr>
        <w:spacing w:after="0"/>
        <w:rPr>
          <w:sz w:val="20"/>
          <w:szCs w:val="20"/>
          <w:color w:val="auto"/>
        </w:rPr>
      </w:pPr>
      <w:r>
        <w:rPr>
          <w:rFonts w:ascii="Arial" w:cs="Arial" w:eastAsia="Arial" w:hAnsi="Arial"/>
          <w:sz w:val="32"/>
          <w:szCs w:val="32"/>
          <w:b w:val="1"/>
          <w:bCs w:val="1"/>
          <w:color w:val="D9BA05"/>
        </w:rPr>
        <w:t>Soltani</w:t>
      </w:r>
    </w:p>
    <w:p>
      <w:pPr>
        <w:spacing w:after="0" w:line="20" w:lineRule="exact"/>
        <w:rPr>
          <w:sz w:val="20"/>
          <w:szCs w:val="20"/>
          <w:color w:val="auto"/>
        </w:rPr>
      </w:pPr>
      <w:r>
        <w:rPr>
          <w:sz w:val="20"/>
          <w:szCs w:val="20"/>
          <w:color w:val="auto"/>
        </w:rPr>
        <w:br w:type="column"/>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Chief Operating Officer |  Age: 54</w:t>
      </w:r>
    </w:p>
    <w:p>
      <w:pPr>
        <w:spacing w:after="0" w:line="122" w:lineRule="exact"/>
        <w:rPr>
          <w:sz w:val="20"/>
          <w:szCs w:val="20"/>
          <w:color w:val="auto"/>
        </w:rPr>
      </w:pPr>
    </w:p>
    <w:p>
      <w:pPr>
        <w:ind w:right="20"/>
        <w:spacing w:after="0" w:line="231" w:lineRule="auto"/>
        <w:rPr>
          <w:sz w:val="20"/>
          <w:szCs w:val="20"/>
          <w:color w:val="auto"/>
        </w:rPr>
      </w:pPr>
      <w:r>
        <w:rPr>
          <w:rFonts w:ascii="Arial" w:cs="Arial" w:eastAsia="Arial" w:hAnsi="Arial"/>
          <w:sz w:val="16"/>
          <w:szCs w:val="16"/>
          <w:b w:val="1"/>
          <w:bCs w:val="1"/>
          <w:color w:val="D9BA05"/>
        </w:rPr>
        <w:t xml:space="preserve">Mr. Soltani </w:t>
      </w:r>
      <w:r>
        <w:rPr>
          <w:rFonts w:ascii="Arial" w:cs="Arial" w:eastAsia="Arial" w:hAnsi="Arial"/>
          <w:sz w:val="16"/>
          <w:szCs w:val="16"/>
          <w:color w:val="000000"/>
        </w:rPr>
        <w:t>joined the Company in March 2018 as Chief Digital Officer and was promoted to</w:t>
      </w:r>
      <w:r>
        <w:rPr>
          <w:rFonts w:ascii="Arial" w:cs="Arial" w:eastAsia="Arial" w:hAnsi="Arial"/>
          <w:sz w:val="16"/>
          <w:szCs w:val="16"/>
          <w:b w:val="1"/>
          <w:bCs w:val="1"/>
          <w:color w:val="D9BA05"/>
        </w:rPr>
        <w:t xml:space="preserve"> </w:t>
      </w:r>
      <w:r>
        <w:rPr>
          <w:rFonts w:ascii="Arial" w:cs="Arial" w:eastAsia="Arial" w:hAnsi="Arial"/>
          <w:sz w:val="16"/>
          <w:szCs w:val="16"/>
          <w:color w:val="000000"/>
        </w:rPr>
        <w:t>Executive Vice President, Commercial President and Chief Technology Officer in June 2020. In September 2024, Mr. Soltani became Executive Vice President, Chief Operating Officer when he assumed primary responsibility for operations while relinquishing most sales responsibilities. Prior to joining the Company, Mr. Soltani served as Vice President and General Manager of B2B at Boxed, where he was responsible for setting strategic vision and operational execution of critical business functions. Prior thereto, he served as Vice President and General Manager at Keurig, where he was responsible for the Company’s ecommerce business.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ind w:right="400"/>
        <w:spacing w:after="0" w:line="265" w:lineRule="auto"/>
        <w:rPr>
          <w:sz w:val="20"/>
          <w:szCs w:val="20"/>
          <w:color w:val="auto"/>
        </w:rPr>
      </w:pPr>
      <w:r>
        <w:rPr>
          <w:rFonts w:ascii="Arial" w:cs="Arial" w:eastAsia="Arial" w:hAnsi="Arial"/>
          <w:sz w:val="16"/>
          <w:szCs w:val="16"/>
          <w:color w:val="auto"/>
        </w:rPr>
        <w:t>Prior to Keurig, Mr. Soltani held senior roles at leading companies including Staples and FedEx Office.</w:t>
      </w:r>
    </w:p>
    <w:p>
      <w:pPr>
        <w:spacing w:after="0" w:line="200" w:lineRule="exact"/>
        <w:rPr>
          <w:sz w:val="20"/>
          <w:szCs w:val="20"/>
          <w:color w:val="auto"/>
        </w:rPr>
      </w:pPr>
    </w:p>
    <w:p>
      <w:pPr>
        <w:sectPr>
          <w:pgSz w:w="11900" w:h="16838" w:orient="portrait"/>
          <w:cols w:equalWidth="0" w:num="2">
            <w:col w:w="1540" w:space="620"/>
            <w:col w:w="7200"/>
          </w:cols>
          <w:pgMar w:left="1240" w:top="114" w:right="1299" w:bottom="1440" w:gutter="0" w:footer="0" w:header="0"/>
        </w:sectPr>
      </w:pPr>
    </w:p>
    <w:p>
      <w:pPr>
        <w:spacing w:after="0" w:line="201" w:lineRule="exact"/>
        <w:rPr>
          <w:sz w:val="20"/>
          <w:szCs w:val="20"/>
          <w:color w:val="auto"/>
        </w:rPr>
      </w:pPr>
    </w:p>
    <w:p>
      <w:pPr>
        <w:spacing w:after="0"/>
        <w:rPr>
          <w:sz w:val="20"/>
          <w:szCs w:val="20"/>
          <w:color w:val="auto"/>
        </w:rPr>
      </w:pPr>
      <w:r>
        <w:rPr>
          <w:rFonts w:ascii="Arial" w:cs="Arial" w:eastAsia="Arial" w:hAnsi="Arial"/>
          <w:sz w:val="32"/>
          <w:szCs w:val="32"/>
          <w:color w:val="D9BA05"/>
        </w:rPr>
        <w:t>Mitchell C.</w:t>
      </w:r>
    </w:p>
    <w:p>
      <w:pPr>
        <w:spacing w:after="0" w:line="42" w:lineRule="exact"/>
        <w:rPr>
          <w:sz w:val="20"/>
          <w:szCs w:val="20"/>
          <w:color w:val="auto"/>
        </w:rPr>
      </w:pPr>
    </w:p>
    <w:p>
      <w:pPr>
        <w:spacing w:after="0"/>
        <w:rPr>
          <w:sz w:val="20"/>
          <w:szCs w:val="20"/>
          <w:color w:val="auto"/>
        </w:rPr>
      </w:pPr>
      <w:r>
        <w:rPr>
          <w:rFonts w:ascii="Arial" w:cs="Arial" w:eastAsia="Arial" w:hAnsi="Arial"/>
          <w:sz w:val="32"/>
          <w:szCs w:val="32"/>
          <w:b w:val="1"/>
          <w:bCs w:val="1"/>
          <w:color w:val="D9BA05"/>
        </w:rPr>
        <w:t>Sussis</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General Counsel and Secretary |  Age: 61</w:t>
      </w:r>
    </w:p>
    <w:p>
      <w:pPr>
        <w:spacing w:after="0" w:line="122" w:lineRule="exact"/>
        <w:rPr>
          <w:sz w:val="20"/>
          <w:szCs w:val="20"/>
          <w:color w:val="auto"/>
        </w:rPr>
      </w:pPr>
    </w:p>
    <w:p>
      <w:pPr>
        <w:spacing w:after="0" w:line="229" w:lineRule="auto"/>
        <w:rPr>
          <w:sz w:val="20"/>
          <w:szCs w:val="20"/>
          <w:color w:val="auto"/>
        </w:rPr>
      </w:pPr>
      <w:r>
        <w:rPr>
          <w:rFonts w:ascii="Arial" w:cs="Arial" w:eastAsia="Arial" w:hAnsi="Arial"/>
          <w:sz w:val="16"/>
          <w:szCs w:val="16"/>
          <w:b w:val="1"/>
          <w:bCs w:val="1"/>
          <w:color w:val="D9BA05"/>
        </w:rPr>
        <w:t xml:space="preserve">Mr. Sussis </w:t>
      </w:r>
      <w:r>
        <w:rPr>
          <w:rFonts w:ascii="Arial" w:cs="Arial" w:eastAsia="Arial" w:hAnsi="Arial"/>
          <w:sz w:val="16"/>
          <w:szCs w:val="16"/>
          <w:color w:val="000000"/>
        </w:rPr>
        <w:t>joined the Company in November 2015 as Senior Vice President, General Counsel and</w:t>
      </w:r>
      <w:r>
        <w:rPr>
          <w:rFonts w:ascii="Arial" w:cs="Arial" w:eastAsia="Arial" w:hAnsi="Arial"/>
          <w:sz w:val="16"/>
          <w:szCs w:val="16"/>
          <w:b w:val="1"/>
          <w:bCs w:val="1"/>
          <w:color w:val="D9BA05"/>
        </w:rPr>
        <w:t xml:space="preserve"> </w:t>
      </w:r>
      <w:r>
        <w:rPr>
          <w:rFonts w:ascii="Arial" w:cs="Arial" w:eastAsia="Arial" w:hAnsi="Arial"/>
          <w:sz w:val="16"/>
          <w:szCs w:val="16"/>
          <w:color w:val="000000"/>
        </w:rPr>
        <w:t>Secretary. Immediately prior to joining the Company, Mr. Sussis served as Vice President and Deputy General Counsel of Time Inc., an international media company, since January 2014. Prior thereto, he served as Senior Vice President and Deputy General Counsel of Level 3 Communications, Inc., a global telecommunications services provider, since October 2011, and as Senior Vice President, Deputy General Counsel and Secretary of Global Crossing Limited from 1999 until its acquisition by Level 3 Communications in 2011.</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5"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Earlier in his career, Mr. Sussis held senior legal positions at The Dun &amp; Bradstreet Corporation and Automatic Data Processing, Inc., after having started in legal practice in 1989 at the international law firm of Simpson Thacher &amp; Bartlett LLP.</w:t>
      </w:r>
    </w:p>
    <w:p>
      <w:pPr>
        <w:spacing w:after="0" w:line="174" w:lineRule="exact"/>
        <w:rPr>
          <w:sz w:val="20"/>
          <w:szCs w:val="20"/>
          <w:color w:val="auto"/>
        </w:rPr>
      </w:pPr>
    </w:p>
    <w:p>
      <w:pPr>
        <w:ind w:left="940"/>
        <w:spacing w:after="0"/>
        <w:rPr>
          <w:sz w:val="20"/>
          <w:szCs w:val="20"/>
          <w:color w:val="auto"/>
        </w:rPr>
      </w:pPr>
      <w:r>
        <w:rPr>
          <w:rFonts w:ascii="Arial" w:cs="Arial" w:eastAsia="Arial" w:hAnsi="Arial"/>
          <w:sz w:val="13"/>
          <w:szCs w:val="13"/>
          <w:b w:val="1"/>
          <w:bCs w:val="1"/>
          <w:color w:val="auto"/>
        </w:rPr>
        <w:t>Movado Group, Inc.        18</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-1881505</wp:posOffset>
            </wp:positionH>
            <wp:positionV relativeFrom="paragraph">
              <wp:posOffset>113665</wp:posOffset>
            </wp:positionV>
            <wp:extent cx="69951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2">
            <w:col w:w="1520" w:space="640"/>
            <w:col w:w="7200"/>
          </w:cols>
          <w:pgMar w:left="1240" w:top="114" w:right="12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50"/>
          <w:szCs w:val="50"/>
          <w:b w:val="1"/>
          <w:bCs w:val="1"/>
          <w:color w:val="D9BA05"/>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59664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following message from the Chair of the Compensation and Human Capital Committee highlights key aspects of our executive compensation program. A detailed discussion follows in the Compensation Discussion and Analysis (CD&amp;A).</w:t>
      </w:r>
    </w:p>
    <w:p>
      <w:pPr>
        <w:spacing w:after="0" w:line="240" w:lineRule="exact"/>
        <w:rPr>
          <w:sz w:val="20"/>
          <w:szCs w:val="20"/>
          <w:color w:val="auto"/>
        </w:rPr>
      </w:pPr>
    </w:p>
    <w:p>
      <w:pPr>
        <w:ind w:right="1040"/>
        <w:spacing w:after="0" w:line="288" w:lineRule="auto"/>
        <w:rPr>
          <w:sz w:val="20"/>
          <w:szCs w:val="20"/>
          <w:color w:val="auto"/>
        </w:rPr>
      </w:pPr>
      <w:r>
        <w:rPr>
          <w:rFonts w:ascii="Arial" w:cs="Arial" w:eastAsia="Arial" w:hAnsi="Arial"/>
          <w:sz w:val="36"/>
          <w:szCs w:val="36"/>
          <w:b w:val="1"/>
          <w:bCs w:val="1"/>
          <w:color w:val="auto"/>
        </w:rPr>
        <w:t>A Letter from the Chair of the Compensation and Human Capital Committee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Dear Fellow Shareholders,</w:t>
      </w:r>
    </w:p>
    <w:p>
      <w:pPr>
        <w:spacing w:after="0" w:line="167"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 Compensation and Human Capital Committee (the “Committee”) is pleased to provide an overview of Movado Group’s executive compensation program for fiscal 2026.</w:t>
      </w:r>
    </w:p>
    <w:p>
      <w:pPr>
        <w:spacing w:after="0" w:line="102" w:lineRule="exact"/>
        <w:rPr>
          <w:sz w:val="20"/>
          <w:szCs w:val="20"/>
          <w:color w:val="auto"/>
        </w:rPr>
      </w:pPr>
    </w:p>
    <w:p>
      <w:pPr>
        <w:jc w:val="both"/>
        <w:ind w:right="120"/>
        <w:spacing w:after="0" w:line="266" w:lineRule="auto"/>
        <w:rPr>
          <w:sz w:val="20"/>
          <w:szCs w:val="20"/>
          <w:color w:val="auto"/>
        </w:rPr>
      </w:pPr>
      <w:r>
        <w:rPr>
          <w:rFonts w:ascii="Arial" w:cs="Arial" w:eastAsia="Arial" w:hAnsi="Arial"/>
          <w:sz w:val="16"/>
          <w:szCs w:val="16"/>
          <w:color w:val="auto"/>
        </w:rPr>
        <w:t>The Committee’s objective is to align our compensation programs with the Company’s strategy and appropriately incentivize and reward management for performance. As part of this process, the Committee periodically engages and consults with independent advisors and considers shareholder feedback on governance and compensation matters.</w:t>
      </w:r>
    </w:p>
    <w:p>
      <w:pPr>
        <w:spacing w:after="0" w:line="117"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fiscal years 2024 and 2025, the Committee increased the emphasis on objective and structured performance-related components within our programs, including the use of performance-based restricted stock units (“PSUs”) and defined financial targets and payout frameworks under our annual incentive compensation program (“AICP”). While this approach was intended to enhance rigor and strengthen the alignment between pay and performance, unforeseen factors arising after the performance frameworks were established impacted our financial results and highlighted limitations in the rigidity of a purely formulaic approach. As a result, no PSU payouts and no AICP payments were made to senior management for those fiscal years, outcomes that the Committee believes did not fully reflect the underlying performance of the business or management’s efforts in a highly dynamic operating environment.</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Operational and Financial Performance for Fiscal 2026</w:t>
      </w:r>
    </w:p>
    <w:p>
      <w:pPr>
        <w:spacing w:after="0" w:line="34" w:lineRule="exact"/>
        <w:rPr>
          <w:sz w:val="20"/>
          <w:szCs w:val="20"/>
          <w:color w:val="auto"/>
        </w:rPr>
      </w:pPr>
    </w:p>
    <w:p>
      <w:pPr>
        <w:ind w:right="340"/>
        <w:spacing w:after="0" w:line="251" w:lineRule="auto"/>
        <w:rPr>
          <w:sz w:val="20"/>
          <w:szCs w:val="20"/>
          <w:color w:val="auto"/>
        </w:rPr>
      </w:pPr>
      <w:r>
        <w:rPr>
          <w:rFonts w:ascii="Arial" w:cs="Arial" w:eastAsia="Arial" w:hAnsi="Arial"/>
          <w:sz w:val="16"/>
          <w:szCs w:val="16"/>
          <w:color w:val="auto"/>
        </w:rPr>
        <w:t>The Company delivered strong financial performance in fiscal 2026. Net sales increased 2.7% to $671.3 million, and operating income increased 49.0% to $29.8 million. Despite $12.7 million of incremental U.S. tariffs under the International Emergency Economic Powers Act and unfavorable changes in foreign currency exchange rates, the Company nearly achieved its internal budget of $30 million in operating income. The Company also generated $57.9 million in net cash from operating activities and ended the year with $230.5 million in cash and no debt, maintaining a strong balance sheet.</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Annual Incentive Compensation – Fiscal 2026</w:t>
      </w:r>
    </w:p>
    <w:p>
      <w:pPr>
        <w:spacing w:after="0" w:line="34"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The fiscal 2026 AICP was established in the spring of 2025, when the Company finalized its internal budgets. Given the economic uncertainty prevailing at that time, the Committee determined that it would be impracticable to set meaningful financial performance metrics for the fiscal 2026 AICP. Accordingly, and in the interest of fairness and flexibility, the Committee decided on a discretionary approach for the fiscal 2026 bonus program.</w:t>
      </w:r>
    </w:p>
    <w:p>
      <w:pPr>
        <w:spacing w:after="0" w:line="129"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The Committee believes that the use of informed judgment can enable more holistic performance evaluations and ensure that incentive outcomes appropriately reflect the full range of factors affecting the business, as compared to relying solely on formulaic results. In circumstances where pre-established metrics may not fully capture performance, the Committee conducts a comprehensive ex-post review, taking into account all relevant information in assessing Company results and determining equitable compensation outcomes. The Committee recognizes the importance of maintaining shareholder confidence and is committed to exercising its judgment thoughtfully and responsibly.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Movado Group, Inc.        19</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In light of the Company’s strong financial performance and after considering all relevant factors as described in the proxy statement under “Executive Compensation,” the Committee awarded bonuses to its executive officers at 90% of target for fiscal 2026. The Committee believes this payout appropriately reflects the Company’s performance relative to expectations while maintaining alignment with shareholder interests.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Long-Term Incentive Compensation – Fiscal 2026</w:t>
      </w:r>
    </w:p>
    <w:p>
      <w:pPr>
        <w:spacing w:after="0" w:line="4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As discussed in last year’s letter, due to the economic uncertainty at the time of grant, all fiscal 2026 long-term incentive awards were made in the form of time-based restricted stock units (“RSUs”), rather than a combination of RSUs and PSUs. The Committee determined that this approach was appropriate given the difficulty in establishing reliable long-term financial performance targets under then-prevailing conditions, while still aligning management’s interests with those of shareholders. In light of the use of time-based equity only, the Committee also reduced the target grant value for Mr. E. Grinberg relative to prior years to reflect the absence of performance-based awards.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Looking Ahead – Fiscal 2027</w:t>
      </w:r>
    </w:p>
    <w:p>
      <w:pPr>
        <w:spacing w:after="0" w:line="4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We are again faced with a very challenging and unpredictable macroeconomic environment, including ongoing geopolitical conflict in the Middle East, continued tariff-related uncertainty in the U.S., and significant volatility in exchange rates for the U.S. dollar, all of which cloud the visibility for this fiscal year. Therefore, the Committee decided that fiscal 2027 long-term incentive awards would again be granted solely in the form of time-based RSUs. Similarly, the Committee has structured the fiscal 2027 AICP as discretionary, consistent with its belief that flexibility remains advisable under current conditions. As with the fiscal 2026 AICP, we will hold management accountable for how it manages to internal forecasts, but will take other factors into consideration in making final bonus determinations. The Committee believes these approaches are appropriate in the current environment and consistent with its longstanding pay-for-performance philosophy. The Committee will continue to assess annually how best to structure its compensation programs to incentivize and reward management for performance against the Company’s goals and objectives.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As always, we welcome your feedback on our compensation programs and disclosure.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Alan H. Howard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Chair, Compensation and Human Capital Committee</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Movado Group, Inc.        20</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Compensation Discussion and Analysis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2026 HIGHLIGHTS</w:t>
      </w:r>
    </w:p>
    <w:p>
      <w:pPr>
        <w:spacing w:after="0" w:line="73"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This section summarizes the Company’s compensation philosophy and demonstrates how that philosophy impacted its executive compensation programs and decisions in fiscal 2026. This section also provides an overview of the Company’s operational and financial performance in fiscal 2026.</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Compensation Philosophy</w:t>
      </w:r>
    </w:p>
    <w:p>
      <w:pPr>
        <w:spacing w:after="0" w:line="4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While the Company considers a number of factors in its compensation decisions, it is guided by the following core philosophies and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5966460" cy="19113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66460" cy="191135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p>
      <w:pPr>
        <w:spacing w:after="0" w:line="195"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PAY FOR PERFORMANCE</w:t>
      </w:r>
    </w:p>
    <w:p>
      <w:pPr>
        <w:spacing w:after="0" w:line="37" w:lineRule="exact"/>
        <w:rPr>
          <w:sz w:val="20"/>
          <w:szCs w:val="20"/>
          <w:color w:val="auto"/>
        </w:rPr>
      </w:pPr>
    </w:p>
    <w:p>
      <w:pPr>
        <w:ind w:left="80"/>
        <w:spacing w:after="0" w:line="252" w:lineRule="auto"/>
        <w:rPr>
          <w:sz w:val="20"/>
          <w:szCs w:val="20"/>
          <w:color w:val="auto"/>
        </w:rPr>
      </w:pPr>
      <w:r>
        <w:rPr>
          <w:rFonts w:ascii="Arial" w:cs="Arial" w:eastAsia="Arial" w:hAnsi="Arial"/>
          <w:sz w:val="14"/>
          <w:szCs w:val="14"/>
          <w:color w:val="auto"/>
        </w:rPr>
        <w:t>A significant portion of executives’ compensation is at-risk, contingent on achievement of performance aligned with the Company’s strategies and goals.</w:t>
      </w:r>
    </w:p>
    <w:p>
      <w:pPr>
        <w:spacing w:after="0" w:line="203"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DRIVE SUSTAINABLE GROWTH</w:t>
      </w:r>
    </w:p>
    <w:p>
      <w:pPr>
        <w:spacing w:after="0" w:line="37" w:lineRule="exact"/>
        <w:rPr>
          <w:sz w:val="20"/>
          <w:szCs w:val="20"/>
          <w:color w:val="auto"/>
        </w:rPr>
      </w:pPr>
    </w:p>
    <w:p>
      <w:pPr>
        <w:ind w:left="80" w:right="280"/>
        <w:spacing w:after="0" w:line="252" w:lineRule="auto"/>
        <w:rPr>
          <w:sz w:val="20"/>
          <w:szCs w:val="20"/>
          <w:color w:val="auto"/>
        </w:rPr>
      </w:pPr>
      <w:r>
        <w:rPr>
          <w:rFonts w:ascii="Arial" w:cs="Arial" w:eastAsia="Arial" w:hAnsi="Arial"/>
          <w:sz w:val="14"/>
          <w:szCs w:val="14"/>
          <w:color w:val="auto"/>
        </w:rPr>
        <w:t>We invest in and reward talent with the greatest potential to drive sustainable, long-term profitable growth while upholding our Company’s values.</w:t>
      </w:r>
    </w:p>
    <w:p>
      <w:pPr>
        <w:spacing w:after="0" w:line="189" w:lineRule="exact"/>
        <w:rPr>
          <w:sz w:val="20"/>
          <w:szCs w:val="20"/>
          <w:color w:val="auto"/>
        </w:rPr>
      </w:pPr>
    </w:p>
    <w:p>
      <w:pPr>
        <w:ind w:left="80"/>
        <w:spacing w:after="0"/>
        <w:rPr>
          <w:sz w:val="20"/>
          <w:szCs w:val="20"/>
          <w:color w:val="auto"/>
        </w:rPr>
      </w:pPr>
      <w:r>
        <w:rPr>
          <w:rFonts w:ascii="Arial" w:cs="Arial" w:eastAsia="Arial" w:hAnsi="Arial"/>
          <w:sz w:val="16"/>
          <w:szCs w:val="16"/>
          <w:b w:val="1"/>
          <w:bCs w:val="1"/>
          <w:color w:val="auto"/>
        </w:rPr>
        <w:t>RECOGNIZE INDIVIDUALS AND TEAMS</w:t>
      </w:r>
    </w:p>
    <w:p>
      <w:pPr>
        <w:spacing w:after="0" w:line="39" w:lineRule="exact"/>
        <w:rPr>
          <w:sz w:val="20"/>
          <w:szCs w:val="20"/>
          <w:color w:val="auto"/>
        </w:rPr>
      </w:pPr>
    </w:p>
    <w:p>
      <w:pPr>
        <w:ind w:left="80" w:right="120"/>
        <w:spacing w:after="0" w:line="255" w:lineRule="auto"/>
        <w:rPr>
          <w:sz w:val="20"/>
          <w:szCs w:val="20"/>
          <w:color w:val="auto"/>
        </w:rPr>
      </w:pPr>
      <w:r>
        <w:rPr>
          <w:rFonts w:ascii="Arial" w:cs="Arial" w:eastAsia="Arial" w:hAnsi="Arial"/>
          <w:sz w:val="14"/>
          <w:szCs w:val="14"/>
          <w:color w:val="auto"/>
        </w:rPr>
        <w:t>Throughout the Company, employees have individual goals that are taken into account in compensation decisions. At the same time, Company-wide and team goals are used to foster the collaboration that is critical to our success.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ALIGNMENT WITH SHAREHOLDERS</w:t>
      </w:r>
    </w:p>
    <w:p>
      <w:pPr>
        <w:spacing w:after="0" w:line="37" w:lineRule="exact"/>
        <w:rPr>
          <w:sz w:val="20"/>
          <w:szCs w:val="20"/>
          <w:color w:val="auto"/>
        </w:rPr>
      </w:pPr>
    </w:p>
    <w:p>
      <w:pPr>
        <w:ind w:right="120"/>
        <w:spacing w:after="0" w:line="247" w:lineRule="auto"/>
        <w:rPr>
          <w:sz w:val="20"/>
          <w:szCs w:val="20"/>
          <w:color w:val="auto"/>
        </w:rPr>
      </w:pPr>
      <w:r>
        <w:rPr>
          <w:rFonts w:ascii="Arial" w:cs="Arial" w:eastAsia="Arial" w:hAnsi="Arial"/>
          <w:sz w:val="14"/>
          <w:szCs w:val="14"/>
          <w:color w:val="auto"/>
        </w:rPr>
        <w:t>Our compensation programs are designed to align executives’ interests with those of our shareholders. A large portion of pay for the named executive officers is comprised of equity-based awards with multi-year vesting, the value of which fluctuates with the Company’s stock price.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APPROPRIATE USE OF JUDGMENT</w:t>
      </w:r>
    </w:p>
    <w:p>
      <w:pPr>
        <w:spacing w:after="0" w:line="37" w:lineRule="exact"/>
        <w:rPr>
          <w:sz w:val="20"/>
          <w:szCs w:val="20"/>
          <w:color w:val="auto"/>
        </w:rPr>
      </w:pPr>
    </w:p>
    <w:p>
      <w:pPr>
        <w:ind w:right="180"/>
        <w:spacing w:after="0" w:line="246" w:lineRule="auto"/>
        <w:rPr>
          <w:sz w:val="20"/>
          <w:szCs w:val="20"/>
          <w:color w:val="auto"/>
        </w:rPr>
      </w:pPr>
      <w:r>
        <w:rPr>
          <w:rFonts w:ascii="Arial" w:cs="Arial" w:eastAsia="Arial" w:hAnsi="Arial"/>
          <w:sz w:val="14"/>
          <w:szCs w:val="14"/>
          <w:color w:val="auto"/>
        </w:rPr>
        <w:t>While financial performance is a critical factor in our performance-based incentive programs, we believe the appropriate use of judgment is important to avoid the mechanical use of formulas when the financial results alone do not reflect the positive or negative impact of an extraordinary operating environment or extenuating circumstances.</w:t>
      </w:r>
    </w:p>
    <w:p>
      <w:pPr>
        <w:spacing w:after="0" w:line="489" w:lineRule="exact"/>
        <w:rPr>
          <w:sz w:val="20"/>
          <w:szCs w:val="20"/>
          <w:color w:val="auto"/>
        </w:rPr>
      </w:pPr>
    </w:p>
    <w:p>
      <w:pPr>
        <w:sectPr>
          <w:pgSz w:w="11900" w:h="16838" w:orient="portrait"/>
          <w:cols w:equalWidth="0" w:num="2">
            <w:col w:w="4500" w:space="380"/>
            <w:col w:w="4520"/>
          </w:cols>
          <w:pgMar w:left="1240" w:top="114" w:right="1259" w:bottom="1440" w:gutter="0" w:footer="0" w:header="0"/>
          <w:type w:val="continuous"/>
        </w:sectPr>
      </w:pP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below checklist demonstrates the alignment of the Company’s practices with its pay philosophies.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114935</wp:posOffset>
            </wp:positionV>
            <wp:extent cx="596646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966460" cy="68580"/>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p>
      <w:pPr>
        <w:spacing w:after="0" w:line="147" w:lineRule="exact"/>
        <w:rPr>
          <w:sz w:val="20"/>
          <w:szCs w:val="20"/>
          <w:color w:val="auto"/>
        </w:rPr>
      </w:pPr>
    </w:p>
    <w:p>
      <w:pPr>
        <w:spacing w:after="0"/>
        <w:rPr>
          <w:sz w:val="20"/>
          <w:szCs w:val="20"/>
          <w:color w:val="auto"/>
        </w:rPr>
      </w:pPr>
      <w:r>
        <w:rPr>
          <w:sz w:val="1"/>
          <w:szCs w:val="1"/>
          <w:color w:val="auto"/>
        </w:rPr>
        <w:drawing>
          <wp:inline distT="0" distB="0" distL="0" distR="0">
            <wp:extent cx="68580" cy="24003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240030"/>
                    </a:xfrm>
                    <a:prstGeom prst="rect">
                      <a:avLst/>
                    </a:prstGeom>
                    <a:noFill/>
                    <a:ln>
                      <a:noFill/>
                    </a:ln>
                  </pic:spPr>
                </pic:pic>
              </a:graphicData>
            </a:graphic>
          </wp:inline>
        </w:drawing>
      </w:r>
      <w:r>
        <w:rPr>
          <w:rFonts w:ascii="Arial" w:cs="Arial" w:eastAsia="Arial" w:hAnsi="Arial"/>
          <w:sz w:val="16"/>
          <w:szCs w:val="16"/>
          <w:b w:val="1"/>
          <w:bCs w:val="1"/>
          <w:color w:val="auto"/>
        </w:rPr>
        <w:t xml:space="preserve"> WHAT WE DO</w:t>
      </w:r>
    </w:p>
    <w:p>
      <w:pPr>
        <w:ind w:left="460" w:right="1000" w:hanging="292"/>
        <w:spacing w:after="0" w:line="205" w:lineRule="exact"/>
        <w:rPr>
          <w:sz w:val="20"/>
          <w:szCs w:val="20"/>
          <w:color w:val="auto"/>
        </w:rPr>
      </w:pPr>
      <w:r>
        <w:rPr>
          <w:rFonts w:ascii="MS PGothic" w:cs="MS PGothic" w:eastAsia="MS PGothic" w:hAnsi="MS PGothic"/>
          <w:sz w:val="17"/>
          <w:szCs w:val="17"/>
          <w:color w:val="D9BA05"/>
        </w:rPr>
        <w:t>✔</w:t>
      </w:r>
      <w:r>
        <w:rPr>
          <w:rFonts w:ascii="Arial" w:cs="Arial" w:eastAsia="Arial" w:hAnsi="Arial"/>
          <w:sz w:val="28"/>
          <w:szCs w:val="28"/>
          <w:color w:val="auto"/>
          <w:vertAlign w:val="subscript"/>
        </w:rPr>
        <w:t xml:space="preserve"> </w:t>
      </w:r>
      <w:r>
        <w:rPr>
          <w:rFonts w:ascii="Arial" w:cs="Arial" w:eastAsia="Arial" w:hAnsi="Arial"/>
          <w:sz w:val="14"/>
          <w:szCs w:val="14"/>
          <w:color w:val="auto"/>
        </w:rPr>
        <w:t xml:space="preserve"> Endeavor to pay fair and equitable compensation to employees throughout the Company</w:t>
      </w:r>
    </w:p>
    <w:p>
      <w:pPr>
        <w:spacing w:after="0" w:line="2" w:lineRule="exact"/>
        <w:rPr>
          <w:sz w:val="20"/>
          <w:szCs w:val="20"/>
          <w:color w:val="auto"/>
        </w:rPr>
      </w:pPr>
    </w:p>
    <w:p>
      <w:pPr>
        <w:ind w:left="460" w:right="620" w:hanging="292"/>
        <w:spacing w:after="0" w:line="196" w:lineRule="exact"/>
        <w:rPr>
          <w:sz w:val="20"/>
          <w:szCs w:val="20"/>
          <w:color w:val="auto"/>
        </w:rPr>
      </w:pPr>
      <w:r>
        <w:rPr>
          <w:rFonts w:ascii="MS PGothic" w:cs="MS PGothic" w:eastAsia="MS PGothic" w:hAnsi="MS PGothic"/>
          <w:sz w:val="17"/>
          <w:szCs w:val="17"/>
          <w:color w:val="D9BA05"/>
        </w:rPr>
        <w:t>✔</w:t>
      </w:r>
      <w:r>
        <w:rPr>
          <w:rFonts w:ascii="Arial" w:cs="Arial" w:eastAsia="Arial" w:hAnsi="Arial"/>
          <w:sz w:val="28"/>
          <w:szCs w:val="28"/>
          <w:color w:val="auto"/>
          <w:vertAlign w:val="subscript"/>
        </w:rPr>
        <w:t xml:space="preserve"> </w:t>
      </w:r>
      <w:r>
        <w:rPr>
          <w:rFonts w:ascii="Arial" w:cs="Arial" w:eastAsia="Arial" w:hAnsi="Arial"/>
          <w:sz w:val="14"/>
          <w:szCs w:val="14"/>
          <w:color w:val="auto"/>
        </w:rPr>
        <w:t xml:space="preserve"> Base a significant portion of executive pay on business performance; pay is not guaranteed</w:t>
      </w:r>
    </w:p>
    <w:p>
      <w:pPr>
        <w:ind w:left="160"/>
        <w:spacing w:after="0" w:line="293" w:lineRule="exact"/>
        <w:rPr>
          <w:sz w:val="20"/>
          <w:szCs w:val="20"/>
          <w:color w:val="auto"/>
        </w:rPr>
      </w:pPr>
      <w:r>
        <w:rPr>
          <w:rFonts w:ascii="MS PGothic" w:cs="MS PGothic" w:eastAsia="MS PGothic" w:hAnsi="MS PGothic"/>
          <w:sz w:val="17"/>
          <w:szCs w:val="17"/>
          <w:color w:val="D9BA05"/>
        </w:rPr>
        <w:t>✔</w:t>
      </w:r>
      <w:r>
        <w:rPr>
          <w:rFonts w:ascii="Arial" w:cs="Arial" w:eastAsia="Arial" w:hAnsi="Arial"/>
          <w:sz w:val="28"/>
          <w:szCs w:val="28"/>
          <w:color w:val="auto"/>
          <w:vertAlign w:val="subscript"/>
        </w:rPr>
        <w:t xml:space="preserve"> </w:t>
      </w:r>
      <w:r>
        <w:rPr>
          <w:rFonts w:ascii="Arial" w:cs="Arial" w:eastAsia="Arial" w:hAnsi="Arial"/>
          <w:sz w:val="14"/>
          <w:szCs w:val="14"/>
          <w:color w:val="auto"/>
        </w:rPr>
        <w:t xml:space="preserve">  Align pay outcomes with individual and Company performance</w:t>
      </w:r>
    </w:p>
    <w:p>
      <w:pPr>
        <w:spacing w:after="0" w:line="1" w:lineRule="exact"/>
        <w:rPr>
          <w:sz w:val="20"/>
          <w:szCs w:val="20"/>
          <w:color w:val="auto"/>
        </w:rPr>
      </w:pPr>
    </w:p>
    <w:p>
      <w:pPr>
        <w:ind w:left="460" w:right="680" w:hanging="292"/>
        <w:spacing w:after="0" w:line="192" w:lineRule="exact"/>
        <w:rPr>
          <w:sz w:val="20"/>
          <w:szCs w:val="20"/>
          <w:color w:val="auto"/>
        </w:rPr>
      </w:pPr>
      <w:r>
        <w:rPr>
          <w:rFonts w:ascii="MS PGothic" w:cs="MS PGothic" w:eastAsia="MS PGothic" w:hAnsi="MS PGothic"/>
          <w:sz w:val="17"/>
          <w:szCs w:val="17"/>
          <w:color w:val="D9BA05"/>
        </w:rPr>
        <w:t>✔</w:t>
      </w:r>
      <w:r>
        <w:rPr>
          <w:rFonts w:ascii="Arial" w:cs="Arial" w:eastAsia="Arial" w:hAnsi="Arial"/>
          <w:sz w:val="28"/>
          <w:szCs w:val="28"/>
          <w:color w:val="auto"/>
          <w:vertAlign w:val="subscript"/>
        </w:rPr>
        <w:t xml:space="preserve"> </w:t>
      </w:r>
      <w:r>
        <w:rPr>
          <w:rFonts w:ascii="Arial" w:cs="Arial" w:eastAsia="Arial" w:hAnsi="Arial"/>
          <w:sz w:val="14"/>
          <w:szCs w:val="14"/>
          <w:color w:val="auto"/>
        </w:rPr>
        <w:t xml:space="preserve"> Align executive compensation with the interests of our shareholders</w:t>
      </w:r>
    </w:p>
    <w:p>
      <w:pPr>
        <w:ind w:left="160"/>
        <w:spacing w:after="0" w:line="293" w:lineRule="exact"/>
        <w:rPr>
          <w:sz w:val="20"/>
          <w:szCs w:val="20"/>
          <w:color w:val="auto"/>
        </w:rPr>
      </w:pPr>
      <w:r>
        <w:rPr>
          <w:rFonts w:ascii="MS PGothic" w:cs="MS PGothic" w:eastAsia="MS PGothic" w:hAnsi="MS PGothic"/>
          <w:sz w:val="17"/>
          <w:szCs w:val="17"/>
          <w:color w:val="D9BA05"/>
        </w:rPr>
        <w:t>✔</w:t>
      </w:r>
      <w:r>
        <w:rPr>
          <w:rFonts w:ascii="Arial" w:cs="Arial" w:eastAsia="Arial" w:hAnsi="Arial"/>
          <w:sz w:val="28"/>
          <w:szCs w:val="28"/>
          <w:color w:val="auto"/>
          <w:vertAlign w:val="subscript"/>
        </w:rPr>
        <w:t xml:space="preserve"> </w:t>
      </w:r>
      <w:r>
        <w:rPr>
          <w:rFonts w:ascii="Arial" w:cs="Arial" w:eastAsia="Arial" w:hAnsi="Arial"/>
          <w:sz w:val="14"/>
          <w:szCs w:val="14"/>
          <w:color w:val="auto"/>
        </w:rPr>
        <w:t xml:space="preserve">  Balance short-term and long-term incentives</w:t>
      </w:r>
    </w:p>
    <w:p>
      <w:pPr>
        <w:ind w:left="460" w:hanging="292"/>
        <w:spacing w:after="0" w:line="185" w:lineRule="exact"/>
        <w:rPr>
          <w:sz w:val="20"/>
          <w:szCs w:val="20"/>
          <w:color w:val="auto"/>
        </w:rPr>
      </w:pPr>
      <w:r>
        <w:rPr>
          <w:rFonts w:ascii="MS PGothic" w:cs="MS PGothic" w:eastAsia="MS PGothic" w:hAnsi="MS PGothic"/>
          <w:sz w:val="17"/>
          <w:szCs w:val="17"/>
          <w:color w:val="D9BA05"/>
        </w:rPr>
        <w:t>✔</w:t>
      </w:r>
      <w:r>
        <w:rPr>
          <w:rFonts w:ascii="Arial" w:cs="Arial" w:eastAsia="Arial" w:hAnsi="Arial"/>
          <w:sz w:val="28"/>
          <w:szCs w:val="28"/>
          <w:color w:val="auto"/>
          <w:vertAlign w:val="subscript"/>
        </w:rPr>
        <w:t xml:space="preserve"> </w:t>
      </w:r>
      <w:r>
        <w:rPr>
          <w:rFonts w:ascii="Arial" w:cs="Arial" w:eastAsia="Arial" w:hAnsi="Arial"/>
          <w:sz w:val="14"/>
          <w:szCs w:val="14"/>
          <w:color w:val="auto"/>
        </w:rPr>
        <w:t xml:space="preserve"> Prohibit short sales; trading in puts, calls and other derivatives of Company stock; and buying Company stock on margin</w:t>
      </w:r>
    </w:p>
    <w:p>
      <w:pPr>
        <w:spacing w:after="0" w:line="1" w:lineRule="exact"/>
        <w:rPr>
          <w:sz w:val="20"/>
          <w:szCs w:val="20"/>
          <w:color w:val="auto"/>
        </w:rPr>
      </w:pPr>
    </w:p>
    <w:p>
      <w:pPr>
        <w:ind w:left="460" w:right="200" w:hanging="292"/>
        <w:spacing w:after="0" w:line="203" w:lineRule="exact"/>
        <w:rPr>
          <w:sz w:val="20"/>
          <w:szCs w:val="20"/>
          <w:color w:val="auto"/>
        </w:rPr>
      </w:pPr>
      <w:r>
        <w:rPr>
          <w:rFonts w:ascii="MS PGothic" w:cs="MS PGothic" w:eastAsia="MS PGothic" w:hAnsi="MS PGothic"/>
          <w:sz w:val="17"/>
          <w:szCs w:val="17"/>
          <w:color w:val="D9BA05"/>
        </w:rPr>
        <w:t>✔</w:t>
      </w:r>
      <w:r>
        <w:rPr>
          <w:rFonts w:ascii="Arial" w:cs="Arial" w:eastAsia="Arial" w:hAnsi="Arial"/>
          <w:sz w:val="28"/>
          <w:szCs w:val="28"/>
          <w:color w:val="auto"/>
          <w:vertAlign w:val="subscript"/>
        </w:rPr>
        <w:t xml:space="preserve"> </w:t>
      </w:r>
      <w:r>
        <w:rPr>
          <w:rFonts w:ascii="Arial" w:cs="Arial" w:eastAsia="Arial" w:hAnsi="Arial"/>
          <w:sz w:val="14"/>
          <w:szCs w:val="14"/>
          <w:color w:val="auto"/>
        </w:rPr>
        <w:t xml:space="preserve"> Maintain an excess incentive compensation “clawback” policy applicable to executive officers</w:t>
      </w:r>
    </w:p>
    <w:p>
      <w:pPr>
        <w:ind w:left="160"/>
        <w:spacing w:after="0" w:line="293" w:lineRule="exact"/>
        <w:rPr>
          <w:sz w:val="20"/>
          <w:szCs w:val="20"/>
          <w:color w:val="auto"/>
        </w:rPr>
      </w:pPr>
      <w:r>
        <w:rPr>
          <w:rFonts w:ascii="MS PGothic" w:cs="MS PGothic" w:eastAsia="MS PGothic" w:hAnsi="MS PGothic"/>
          <w:sz w:val="17"/>
          <w:szCs w:val="17"/>
          <w:color w:val="D9BA05"/>
        </w:rPr>
        <w:t>✔</w:t>
      </w:r>
      <w:r>
        <w:rPr>
          <w:rFonts w:ascii="Arial" w:cs="Arial" w:eastAsia="Arial" w:hAnsi="Arial"/>
          <w:sz w:val="28"/>
          <w:szCs w:val="28"/>
          <w:color w:val="auto"/>
          <w:vertAlign w:val="subscript"/>
        </w:rPr>
        <w:t xml:space="preserve"> </w:t>
      </w:r>
      <w:r>
        <w:rPr>
          <w:rFonts w:ascii="Arial" w:cs="Arial" w:eastAsia="Arial" w:hAnsi="Arial"/>
          <w:sz w:val="14"/>
          <w:szCs w:val="14"/>
          <w:color w:val="auto"/>
        </w:rPr>
        <w:t xml:space="preserve">  Conduct an annual say-on-pay vote</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-3043555</wp:posOffset>
            </wp:positionH>
            <wp:positionV relativeFrom="paragraph">
              <wp:posOffset>-107315</wp:posOffset>
            </wp:positionV>
            <wp:extent cx="5966460" cy="19888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966460" cy="1988820"/>
                    </a:xfrm>
                    <a:prstGeom prst="rect">
                      <a:avLst/>
                    </a:prstGeom>
                    <a:noFill/>
                  </pic:spPr>
                </pic:pic>
              </a:graphicData>
            </a:graphic>
          </wp:anchor>
        </w:drawing>
      </w:r>
    </w:p>
    <w:p>
      <w:pPr>
        <w:spacing w:after="0" w:line="107" w:lineRule="exact"/>
        <w:rPr>
          <w:sz w:val="20"/>
          <w:szCs w:val="20"/>
          <w:color w:val="auto"/>
        </w:rPr>
      </w:pPr>
    </w:p>
    <w:p>
      <w:pPr>
        <w:ind w:left="260" w:right="440" w:hanging="265"/>
        <w:spacing w:after="0" w:line="192"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dividends or dividend equivalents paid on unvested stock-based awards</w:t>
      </w:r>
    </w:p>
    <w:p>
      <w:pPr>
        <w:spacing w:after="0" w:line="9" w:lineRule="exact"/>
        <w:rPr>
          <w:sz w:val="20"/>
          <w:szCs w:val="20"/>
          <w:color w:val="auto"/>
        </w:rPr>
      </w:pPr>
    </w:p>
    <w:p>
      <w:pPr>
        <w:ind w:right="1480"/>
        <w:spacing w:after="0" w:line="247"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repricing of underwater stock options </w:t>
      </w:r>
      <w:r>
        <w:rPr>
          <w:rFonts w:ascii="MS PGothic" w:cs="MS PGothic" w:eastAsia="MS PGothic" w:hAnsi="MS PGothic"/>
          <w:sz w:val="14"/>
          <w:szCs w:val="14"/>
          <w:color w:val="auto"/>
        </w:rPr>
        <w:t>✕</w:t>
      </w:r>
      <w:r>
        <w:rPr>
          <w:rFonts w:ascii="Arial" w:cs="Arial" w:eastAsia="Arial" w:hAnsi="Arial"/>
          <w:sz w:val="14"/>
          <w:szCs w:val="14"/>
          <w:color w:val="auto"/>
        </w:rPr>
        <w:t xml:space="preserve">  No tax gross-ups for executive perquisites </w:t>
      </w:r>
      <w:r>
        <w:rPr>
          <w:rFonts w:ascii="MS PGothic" w:cs="MS PGothic" w:eastAsia="MS PGothic" w:hAnsi="MS PGothic"/>
          <w:sz w:val="14"/>
          <w:szCs w:val="14"/>
          <w:color w:val="auto"/>
        </w:rPr>
        <w:t>✕</w:t>
      </w:r>
      <w:r>
        <w:rPr>
          <w:rFonts w:ascii="Arial" w:cs="Arial" w:eastAsia="Arial" w:hAnsi="Arial"/>
          <w:sz w:val="14"/>
          <w:szCs w:val="14"/>
          <w:color w:val="auto"/>
        </w:rPr>
        <w:t xml:space="preserve">  No tax gross-ups related to change in control</w:t>
      </w:r>
    </w:p>
    <w:p>
      <w:pPr>
        <w:spacing w:after="0" w:line="2" w:lineRule="exact"/>
        <w:rPr>
          <w:sz w:val="20"/>
          <w:szCs w:val="20"/>
          <w:color w:val="auto"/>
        </w:rPr>
      </w:pPr>
    </w:p>
    <w:p>
      <w:pPr>
        <w:ind w:left="260" w:right="240" w:hanging="265"/>
        <w:spacing w:after="0" w:line="182"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excessive reliance on formulaic models that can result in inappropriately high or low incentive compensation when viewed in the context of the actual operating environment</w:t>
      </w:r>
    </w:p>
    <w:p>
      <w:pPr>
        <w:spacing w:after="0" w:line="8" w:lineRule="exact"/>
        <w:rPr>
          <w:sz w:val="20"/>
          <w:szCs w:val="20"/>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No stock awards with single-trigger change in control vesting</w:t>
      </w:r>
    </w:p>
    <w:p>
      <w:pPr>
        <w:spacing w:after="0" w:line="1160" w:lineRule="exact"/>
        <w:rPr>
          <w:sz w:val="20"/>
          <w:szCs w:val="20"/>
          <w:color w:val="auto"/>
        </w:rPr>
      </w:pPr>
    </w:p>
    <w:p>
      <w:pPr>
        <w:sectPr>
          <w:pgSz w:w="11900" w:h="16838" w:orient="portrait"/>
          <w:cols w:equalWidth="0" w:num="2">
            <w:col w:w="4580" w:space="220"/>
            <w:col w:w="4600"/>
          </w:cols>
          <w:pgMar w:left="1240" w:top="114" w:right="125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Shareholder Engagement</w:t>
      </w:r>
    </w:p>
    <w:p>
      <w:pPr>
        <w:spacing w:after="0" w:line="34"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The Compensation and Human Capital Committee (as used in this Compensation Discussion and Analysis, the “Committee”) actively solicits and considers feedback from shareholders regarding the Company’s executive compensation programs. In the spring of 2025, we reached out to several of our largest shareholders to seek input on corporate governance and compensation matters. These shareholders generally expressed support for the Company’s compensation programs.</w:t>
      </w:r>
    </w:p>
    <w:p>
      <w:pPr>
        <w:spacing w:after="0" w:line="129"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At the 2025 annual meeting, approximately 95% of the votes represented and 97% of the votes cast voted in favor of our shareholders’ advisory vote on executive compensation. In addition, more than 98% of the votes cast at our 2023 annual meeting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Movado Group, Inc.        21</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expressed a preference for annual advisory votes on executive compensation. In accordance with the shareholders’ stated preference, the Board of Directors decided that such future advisory votes would be submitted to shareholders every year. Shareholders are invited to express their views to the Board of Directors regarding executive compensation generally as well as on other matters as described in this proxy statement under the heading “Communications with the Board of Directors.”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Compensation Mix</w:t>
      </w:r>
    </w:p>
    <w:p>
      <w:pPr>
        <w:spacing w:after="0" w:line="45"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 Company’s pay mix for executives in fiscal 2026 reflected our compensation philosophy that a significant portion of executive pay should be at risk and that incentives should be appropriately balanced between short-term and long-term. The graph below illustrates the compensation mix for our CEO’s fiscal 2026 target pay package.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2181225</wp:posOffset>
            </wp:positionH>
            <wp:positionV relativeFrom="paragraph">
              <wp:posOffset>191135</wp:posOffset>
            </wp:positionV>
            <wp:extent cx="1619885" cy="22371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61988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2026 Pay-for-Performance Alignment</w:t>
      </w:r>
    </w:p>
    <w:p>
      <w:pPr>
        <w:spacing w:after="0" w:line="45"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The Company’s executive compensation programs are designed to incentivize performance that creates shareholder value. Our long-term incentives are comprised of equity-based awards that align our executives’ interests with those of shareholders during the three-year vesting period and beyond. At the same time, our annual incentive compensation plan is designed to reward performance that we believe will lead to sustainable, long-term profitable growth and enhance shareholder value.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Movado Group, Inc.        22</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9"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 xml:space="preserve">Although the specific performance criteria under the AICP vary from year to year, adjusted operating income </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has been the primary factor in the payout determination in recent years. The chart below illustrates the relationships among actual and targeted adjusted operating income (as restated) and Mr. E. Grinberg’s actual and target bonus over the last four fiscal years. Because no adjusted operating income target was established for the fiscal 2026 AICP, the figure shown as the target for that year reflects the Company’s internal budget.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1032510</wp:posOffset>
            </wp:positionH>
            <wp:positionV relativeFrom="paragraph">
              <wp:posOffset>198755</wp:posOffset>
            </wp:positionV>
            <wp:extent cx="3909060" cy="19888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909060"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ROLE OF THE COMPENSATION AND HUMAN CAPITAL COMMITTEE</w:t>
      </w:r>
    </w:p>
    <w:p>
      <w:pPr>
        <w:spacing w:after="0" w:line="73"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Compensation and Human Capital Committee is responsible for reviewing and approving annually corporate goals with respect to the compensation of the Company’s Chief Executive Officer (“CEO”), evaluating the performance of the CEO against those goals, and determining the CEO’s compensation based on that evaluation. In addition, the Committee also reviews and approves the structure and levels of compensation for the Company’s other executive officers; reviews and approves significant compensation programs generally, including performance goals under annual and long-term incentive plans; and reviews and administers the Company’s 1996 Stock Incentive Plan, as amended and restated (the “Stock Plan”). Throughout this proxy statement, the individuals who served as the Company’s CEO or Chief Financial Officer (“CFO”) during fiscal 2026, as well as the other individuals included in the SUMMARY COMPENSATION TABLE below, are referred to as the “named executive officers” or “NEOs.”</w:t>
      </w: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OBJECTIVES</w:t>
      </w:r>
    </w:p>
    <w:p>
      <w:pPr>
        <w:spacing w:after="0" w:line="7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fundamental purpose served by every compensation recommendation made by the Company and approved by the Committee is to appropriately reward, motivate, retain and attract a group of highly qualified individuals who contribute to the Company’s continued success, with the ultimate objective of enhancing shareholder value. The three most significant elements of compensation used by the Company in developing specific compensation packages offered to its executives and management level employees generally are: (1) base salary, (2) annual incentive cash bonuses, and (3) long-term equity compensation. Of these, annual incentive cash bonuses and equity compensation vary with performance, are closely linked to the creation of long-term shareholder value and, as such, most closely align executives’ interests with those of the Company’s shareholders. The Company and the Committee believe that the most effective executive compensation programs are those designed to reward the achievement of specific strategic and financial goals set by the Company and those that are closely linked to the creation of long-term shareholder value; therefore, a significant portion of the total compensation that may be earned by the NEOs is determined by these performance-based elements. At the same time, the Committee exercises judgment to avoid the mechanical use of formulas when financial results alone do not reflect the positive or negative impact of an extraordinary operating environment or extenuating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157480</wp:posOffset>
            </wp:positionV>
            <wp:extent cx="8229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05" w:lineRule="exact"/>
        <w:rPr>
          <w:sz w:val="20"/>
          <w:szCs w:val="20"/>
          <w:color w:val="auto"/>
        </w:rPr>
      </w:pPr>
    </w:p>
    <w:p>
      <w:pPr>
        <w:ind w:left="180" w:right="60" w:hanging="174"/>
        <w:spacing w:after="0" w:line="206" w:lineRule="auto"/>
        <w:tabs>
          <w:tab w:leader="none" w:pos="180" w:val="left"/>
        </w:tabs>
        <w:numPr>
          <w:ilvl w:val="0"/>
          <w:numId w:val="17"/>
        </w:numPr>
        <w:rPr>
          <w:rFonts w:ascii="Arial" w:cs="Arial" w:eastAsia="Arial" w:hAnsi="Arial"/>
          <w:sz w:val="20"/>
          <w:szCs w:val="20"/>
          <w:color w:val="333333"/>
          <w:vertAlign w:val="superscript"/>
        </w:rPr>
      </w:pPr>
      <w:r>
        <w:rPr>
          <w:rFonts w:ascii="Arial" w:cs="Arial" w:eastAsia="Arial" w:hAnsi="Arial"/>
          <w:sz w:val="13"/>
          <w:szCs w:val="13"/>
          <w:color w:val="333333"/>
        </w:rPr>
        <w:t>Adjusted operating income is a non-GAAP financial measure calculated by adjusting GAAP operating income to eliminate the effect of certain items that the Company believes are not characteristic of its usual operations. For fiscal years 2025 and 2026, these items were the establishment of provisions associated with cost-savings initiatives and professional fees related to the investigation that led to the restatement of financial results. For prior fiscal years, these items were the amortization of acquisition accounting adjustments related to the Olivia Burton and MVMT acquisitions, corporate initiatives and the impairment of goodwill and certain intangible assets. For additional information, please see the “GAAP and Non-GAAP measures” table attached to the Company’s fiscal 2026 earnings release issued on March 19, 2026.</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Movado Group, Inc.        23</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SETTING EXECUTIVE COMPENSATION</w:t>
      </w:r>
    </w:p>
    <w:p>
      <w:pPr>
        <w:spacing w:after="0" w:line="73" w:lineRule="exact"/>
        <w:rPr>
          <w:sz w:val="20"/>
          <w:szCs w:val="20"/>
          <w:color w:val="auto"/>
        </w:rPr>
      </w:pPr>
    </w:p>
    <w:p>
      <w:pPr>
        <w:jc w:val="both"/>
        <w:ind w:right="260"/>
        <w:spacing w:after="0" w:line="266" w:lineRule="auto"/>
        <w:rPr>
          <w:sz w:val="20"/>
          <w:szCs w:val="20"/>
          <w:color w:val="auto"/>
        </w:rPr>
      </w:pPr>
      <w:r>
        <w:rPr>
          <w:rFonts w:ascii="Arial" w:cs="Arial" w:eastAsia="Arial" w:hAnsi="Arial"/>
          <w:sz w:val="16"/>
          <w:szCs w:val="16"/>
          <w:color w:val="auto"/>
        </w:rPr>
        <w:t>With the foregoing objectives in mind, the Company determines overall compensation levels for the executive officers based on particular facts and circumstances, including, for example, the experience level and performance of the individual executive, the scope of the executive’s role and market factors.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The Committee periodically consults with, or engages the services of, independent executive compensation and benefits firms to advise on the structure of the Company’s compensation programs and to assist it in assessing the competitiveness of the Company’s executive and non-employee director compensation levels. Last year, the Committee once again discussed executive compensation with its compensation consultant, Meridian Compensation Partners, LLC.</w:t>
      </w:r>
    </w:p>
    <w:p>
      <w:pPr>
        <w:spacing w:after="0" w:line="124"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Committee does not rely solely on available compensation data from any single group of companies because the Committee believes that the Company competes for top executive talent with many larger companies in addition to companies that may be considered to be the Company’s peers.</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Consistent with the Company’s compensation philosophy, a significant percentage of total compensation, particularly in the case of the NEOs, is allocated to performance-based incentive compensation. The Committee reviews information made available to it periodically from outside compensation consultants and annually from the Company’s Chief Human Resources Officer to determine the appropriate level and mix of incentive compensation as among cash and non-cash or short-term and long-term incentive compensation. In setting the compensation for the CEO and the other NEOs for fiscal 2026, the Committee considered the financial performance of the Company in fiscal 2025, the Company’s projected financial performance in fiscal 2026, the Company’s historical base pay, bonus and equity grant data from previous years, and information relating to compensation survey data.</w:t>
      </w:r>
    </w:p>
    <w:p>
      <w:pPr>
        <w:spacing w:after="0" w:line="127"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Committee makes all compensation decisions affecting the compensation awarded to the CEO. With respect to the compensation of the other NEOs, the Committee considers the recommendations of the CEO and the Chief Human Resources Officer, including recommendations regarding salary adjustments and annual target award amounts. Subject to any applicable plan limitations, the Committee may modify any recommended adjustments or awards to executives. The Committee also reviews total compensation earned by and awarded to the NEOs for prior years.</w:t>
      </w:r>
    </w:p>
    <w:p>
      <w:pPr>
        <w:spacing w:after="0" w:line="3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2026 EXECUTIVE COMPENSATION COMPONENTS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For the fiscal year ended January 31, 2026, the principal components of compensation for the named executive officers were:</w:t>
      </w:r>
    </w:p>
    <w:p>
      <w:pPr>
        <w:spacing w:after="0" w:line="167" w:lineRule="exact"/>
        <w:rPr>
          <w:sz w:val="20"/>
          <w:szCs w:val="20"/>
          <w:color w:val="auto"/>
        </w:rPr>
      </w:pPr>
    </w:p>
    <w:p>
      <w:pPr>
        <w:ind w:left="660" w:hanging="330"/>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 salary;</w:t>
      </w:r>
    </w:p>
    <w:p>
      <w:pPr>
        <w:spacing w:after="0" w:line="167" w:lineRule="exact"/>
        <w:rPr>
          <w:rFonts w:ascii="Arial" w:cs="Arial" w:eastAsia="Arial" w:hAnsi="Arial"/>
          <w:sz w:val="16"/>
          <w:szCs w:val="16"/>
          <w:color w:val="auto"/>
        </w:rPr>
      </w:pPr>
    </w:p>
    <w:p>
      <w:pPr>
        <w:ind w:left="660" w:hanging="330"/>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annual incentive compensation;</w:t>
      </w:r>
    </w:p>
    <w:p>
      <w:pPr>
        <w:spacing w:after="0" w:line="167" w:lineRule="exact"/>
        <w:rPr>
          <w:rFonts w:ascii="Arial" w:cs="Arial" w:eastAsia="Arial" w:hAnsi="Arial"/>
          <w:sz w:val="16"/>
          <w:szCs w:val="16"/>
          <w:color w:val="auto"/>
        </w:rPr>
      </w:pPr>
    </w:p>
    <w:p>
      <w:pPr>
        <w:ind w:left="660" w:hanging="330"/>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equity incentive compensation;</w:t>
      </w:r>
    </w:p>
    <w:p>
      <w:pPr>
        <w:spacing w:after="0" w:line="167" w:lineRule="exact"/>
        <w:rPr>
          <w:rFonts w:ascii="Arial" w:cs="Arial" w:eastAsia="Arial" w:hAnsi="Arial"/>
          <w:sz w:val="16"/>
          <w:szCs w:val="16"/>
          <w:color w:val="auto"/>
        </w:rPr>
      </w:pPr>
    </w:p>
    <w:p>
      <w:pPr>
        <w:ind w:left="660" w:hanging="330"/>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retirement and other post-employment benefits; and</w:t>
      </w:r>
    </w:p>
    <w:p>
      <w:pPr>
        <w:spacing w:after="0" w:line="167" w:lineRule="exact"/>
        <w:rPr>
          <w:rFonts w:ascii="Arial" w:cs="Arial" w:eastAsia="Arial" w:hAnsi="Arial"/>
          <w:sz w:val="16"/>
          <w:szCs w:val="16"/>
          <w:color w:val="auto"/>
        </w:rPr>
      </w:pPr>
    </w:p>
    <w:p>
      <w:pPr>
        <w:ind w:left="660" w:hanging="330"/>
        <w:spacing w:after="0"/>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perquisites.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Base Salary</w:t>
      </w:r>
    </w:p>
    <w:p>
      <w:pPr>
        <w:spacing w:after="0" w:line="34" w:lineRule="exact"/>
        <w:rPr>
          <w:sz w:val="20"/>
          <w:szCs w:val="20"/>
          <w:color w:val="auto"/>
        </w:rPr>
      </w:pPr>
    </w:p>
    <w:p>
      <w:pPr>
        <w:jc w:val="both"/>
        <w:ind w:right="80"/>
        <w:spacing w:after="0" w:line="249" w:lineRule="auto"/>
        <w:rPr>
          <w:sz w:val="20"/>
          <w:szCs w:val="20"/>
          <w:color w:val="auto"/>
        </w:rPr>
      </w:pPr>
      <w:r>
        <w:rPr>
          <w:rFonts w:ascii="Arial" w:cs="Arial" w:eastAsia="Arial" w:hAnsi="Arial"/>
          <w:sz w:val="16"/>
          <w:szCs w:val="16"/>
          <w:color w:val="auto"/>
        </w:rPr>
        <w:t>The Company provides NEOs and other employees with base salary to compensate them for services rendered during the fiscal year. Base salaries for NEOs are determined by the Committee for each individual in light of the Committee’s assessment of the responsibilities relative to the position under consideration, as well as each individual’s background, training and experience, and by reference to the competitive marketplace for comparable talent. Increases in base salary levels, if warranted, are reviewed with reference to the individual’s performance, the performance of the Company as a whole and the prevailing rate of increase in base salary levels generally in the competitive marketplace with respect to similar executive positions. During its review of base salaries for executives, the Committee primarily considers:</w:t>
      </w:r>
    </w:p>
    <w:p>
      <w:pPr>
        <w:spacing w:after="0" w:line="133" w:lineRule="exact"/>
        <w:rPr>
          <w:sz w:val="20"/>
          <w:szCs w:val="20"/>
          <w:color w:val="auto"/>
        </w:rPr>
      </w:pPr>
    </w:p>
    <w:p>
      <w:pPr>
        <w:ind w:left="660" w:hanging="330"/>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market data with respect to average merit and cost of living increases for similar positions;</w:t>
      </w:r>
    </w:p>
    <w:p>
      <w:pPr>
        <w:spacing w:after="0" w:line="167" w:lineRule="exact"/>
        <w:rPr>
          <w:rFonts w:ascii="Arial" w:cs="Arial" w:eastAsia="Arial" w:hAnsi="Arial"/>
          <w:sz w:val="16"/>
          <w:szCs w:val="16"/>
          <w:color w:val="auto"/>
        </w:rPr>
      </w:pPr>
    </w:p>
    <w:p>
      <w:pPr>
        <w:ind w:left="660" w:hanging="330"/>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internal review of the executive’s compensation, both individually and relative to other executive officers; and</w:t>
      </w:r>
    </w:p>
    <w:p>
      <w:pPr>
        <w:spacing w:after="0" w:line="167" w:lineRule="exact"/>
        <w:rPr>
          <w:rFonts w:ascii="Arial" w:cs="Arial" w:eastAsia="Arial" w:hAnsi="Arial"/>
          <w:sz w:val="16"/>
          <w:szCs w:val="16"/>
          <w:color w:val="auto"/>
        </w:rPr>
      </w:pPr>
    </w:p>
    <w:p>
      <w:pPr>
        <w:ind w:left="660" w:hanging="330"/>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individual performance of the executive.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Movado Group, Inc.        24</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For fiscal 2026, the salaries of Mr. E. Grinberg, Ms. DeMarsilis and Mr. Soltani were left unchanged, and the salaries of Mr. Sussis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and Ms. Kennedy were each increased by two percent. As a result, the fiscal 2026 salaries of the NEOs were as follows: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$1,300,000 for Mr. E. Grinberg, $672,750 for Ms. DeMarsilis, $621,000 for Mr. Soltani, $475,065 for Mr. Sussis and $475,065 for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Ms. Kennedy.</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Annual Incentive Compensation Program</w:t>
      </w:r>
    </w:p>
    <w:p>
      <w:pPr>
        <w:spacing w:after="0" w:line="34"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The Company’s annual incentive compensation program is governed by the Annual Incentive Compensation Plan (“AICP”), in which all bonus-eligible employees (including the NEOs) participate. For fiscal 2026, the Committee set the target annual incentive payments for Mr. E. Grinberg at 150% of his base salary; for Ms. DeMarsilis at 75% of her base salary; for Mr. Soltani at 75% of his base salary; for Mr. Sussis at 50% of his base salary; and for Ms. Kennedy at 50% of her base salary. These percentages were unchanged from fiscal 2025. The Committee determines the target bonus for each NEO by exercising its judgment of what an appropriate percentage is, informed by a consideration of such person’s total compensation compared to target bonus levels and total compensation payable to other executive officers in other positions within the Company and relative to similar executive positions in the competitive marketplace.</w:t>
      </w:r>
    </w:p>
    <w:p>
      <w:pPr>
        <w:spacing w:after="0" w:line="131"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The fiscal 2026 AICP was established in the spring of 2025 in connection with the Company’s internal budgeting process. There was significant economic uncertainty at that time as a result of various macroeconomic factors, including tariff announcements by the Trump Administration, the threat of an international trade war and its potential impact on economies worldwide, and declining consumer sentiment. At that time, the Committee determined that, given the elevated level of economic uncertainty, it would be impracticable to establish meaningful pre-set financial performance metrics for the fiscal 2026 AICP. Accordingly, the Committee adopted a discretionary approach to annual incentive compensation for fiscal 2026 in order to preserve flexibility and promote fairness in evaluating performance. In implementing this approach, the Committee determined that the use of informed judgment would allow for a more comprehensive and balanced assessment of Company performance than a purely formulaic framework.</w:t>
      </w:r>
    </w:p>
    <w:p>
      <w:pPr>
        <w:spacing w:after="0" w:line="129"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color w:val="auto"/>
        </w:rPr>
        <w:t>Following the close of the fiscal year, the Committee conducted a comprehensive, retrospective evaluation of the Company’s performance, taking into account a broad range of financial and operational factors, including revenue growth, profitability, cash flow generation, balance sheet strength, total shareholder return, execution against strategic and operational priorities, and the impact of external factors such as tariffs and foreign currency fluctuations. The Committee believes that this approach enabled AICP outcomes to more accurately reflect the overall performance of the business and management’s execution in a dynamic operating environment.</w:t>
      </w:r>
    </w:p>
    <w:p>
      <w:pPr>
        <w:spacing w:after="0" w:line="128"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For fiscal 2026, the Company delivered strong financial results, including net sales of $671.3 million (an increase of 2.7% year-over-year) and operating income of $29.8 million (an increase of 49.0% year-over-year), despite headwinds from incremental U.S. tariffs and unfavorable foreign currency movements. Operating income was also closely aligned with the Company’s internal budget of $30 million. In addition, the Company generated $57.9 million in net cash from operating activities and ended the year with $230.5 million in cash and no debt.</w:t>
      </w:r>
    </w:p>
    <w:p>
      <w:pPr>
        <w:spacing w:after="0" w:line="126"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In addition to corporate performance, the Committee also considers individual performance in determining the amount of each NEO’s bonus payment under the AICP. There is no specific relative weight given by the Committee to the corporate performance of the Company as compared to the individual performance of any NEO. The Committee determines the amount of each NEO’s annual incentive payment regardless of the extent to which any of the performance criteria (individual or corporate) are met. However, the Committee does, in practice, take into account these criteria, including individual performance. In considering individual performance, the Committee is briefed by, and relies on a general summary assessment and recommendation provided by, the Company’s CEO and/or Chief Human Resources Officer relative to the performance of the NEOs (other than the CEO). That summary assessment and recommendation addresses the individual performance goals of the NEO as well as his or her overall performance. When it considers the individual performance of the CEO in determining the annual incentive payment to be made to him, the Committee considers the CEO’s individual performance goals, the performance of the business viewed holistically and the economic context relevant to the performance.</w:t>
      </w:r>
    </w:p>
    <w:p>
      <w:pPr>
        <w:spacing w:after="0" w:line="133" w:lineRule="exact"/>
        <w:rPr>
          <w:sz w:val="20"/>
          <w:szCs w:val="20"/>
          <w:color w:val="auto"/>
        </w:rPr>
      </w:pPr>
    </w:p>
    <w:p>
      <w:pPr>
        <w:jc w:val="both"/>
        <w:ind w:right="300"/>
        <w:spacing w:after="0" w:line="266" w:lineRule="auto"/>
        <w:rPr>
          <w:sz w:val="20"/>
          <w:szCs w:val="20"/>
          <w:color w:val="auto"/>
        </w:rPr>
      </w:pPr>
      <w:r>
        <w:rPr>
          <w:rFonts w:ascii="Arial" w:cs="Arial" w:eastAsia="Arial" w:hAnsi="Arial"/>
          <w:sz w:val="16"/>
          <w:szCs w:val="16"/>
          <w:color w:val="auto"/>
        </w:rPr>
        <w:t>After considering all relevant factors, the Committee determined to award annual incentive bonuses to each executive officer at 90% of his or her target for fiscal 2026. The Committee believes that these payouts appropriately reflect the Company’s strong performance while maintaining alignment with shareholder interests.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Movado Group, Inc.        25</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Equity Incentive Compensation</w:t>
      </w:r>
    </w:p>
    <w:p>
      <w:pPr>
        <w:spacing w:after="0" w:line="34"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Stock ownership is a key element of the Company’s compensation program for the NEOs and senior management generally, as well as mid-level managers throughout the Company. Under the Stock Plan, the Committee may grant participants shares of the Company’s Common Stock, restricted stock, share units, stock options, stock appreciation rights, performance units and/or performance bonuses. In granting these awards, the Committee may establish any conditions or restrictions it deems appropriate.</w:t>
      </w:r>
    </w:p>
    <w:p>
      <w:pPr>
        <w:spacing w:after="0" w:line="129"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All grants made by the Committee under the Stock Plan since its inception have been in the form of stock options, time-vesting restricted stock unit awards (“RSUs”) (pursuant to which unrestricted shares of Common Stock are issued to the grantee when the award vests) or performance-based stock unit awards (“PSUs”) (under which vesting occurs only if one or more predetermined financial goals are achieved within the relevant performance period). The Committee believes that all of these equity awards align the interests of executives with the creation of long-term value for our shareholders and that each of these equity awards has particular attributes that align compensation outcomes with Company performance. The Committee views these equity awards as useful retention tools to the extent that vesting only occurs after a period of several years and also as an effective means of encouraging award recipients to focus on enhancing shareholder value over the long term by directly aligning the recipient’s financial interests with the interests of the Company’s shareholders. However, although the Stock Plan allows for the grant of so-called “reload options,” the Committee has not granted reload options since 2001 and does not intend to grant reload options in the future.</w:t>
      </w:r>
    </w:p>
    <w:p>
      <w:pPr>
        <w:spacing w:after="0" w:line="324"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The Committee typically makes annual grants under the Stock Plan effective shortly after the release of the Company’s fourth quarter and year-end earnings results. To the extent that the Committee determines to grant stock options, stock appreciation rights or similar awards with option-like features, the Committee does not do so at a time when it is aware of material non-public information about the Company, and the Committee does not time the disclosure of material non-public information for the purpose of affecting the value of executive compensation.</w:t>
      </w:r>
    </w:p>
    <w:p>
      <w:pPr>
        <w:spacing w:after="0" w:line="12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significant economic uncertainty in April 2025 discussed above made it impossible to accurately forecast the Company’s financial results at the time of the fiscal 2026 equity grants. As a result, the Committee determined that it was impracticable to establish meaningful financial performance metrics for PSU awards and that all equity awards for fiscal 2026 would be made in the form of RSUs with three-year cliff vesting, which align executive incentives with shareholder experience. Since the Committee decided to use only RSUs, it was decided that Mr. E. Grinberg’s fiscal 2026 equity award would be valued at $1.95 million, representing a decrease of 44% from the $3.5 million target grant value of his fiscal 2025 award. All equity grants awarded to the NEOs during fiscal 2026 are reported below in the SUMMARY COMPENSATION TABLE FOR FISCAL 2026 and in the GRANTS OF PLAN-BASED AWARDS table.</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Retirement and Other Post-Employment Benefits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401(k) Plan</w:t>
      </w:r>
    </w:p>
    <w:p>
      <w:pPr>
        <w:spacing w:after="0" w:line="32" w:lineRule="exact"/>
        <w:rPr>
          <w:sz w:val="20"/>
          <w:szCs w:val="20"/>
          <w:color w:val="auto"/>
        </w:rPr>
      </w:pPr>
    </w:p>
    <w:p>
      <w:pPr>
        <w:ind w:right="320"/>
        <w:spacing w:after="0" w:line="263" w:lineRule="auto"/>
        <w:rPr>
          <w:sz w:val="20"/>
          <w:szCs w:val="20"/>
          <w:color w:val="auto"/>
        </w:rPr>
      </w:pPr>
      <w:r>
        <w:rPr>
          <w:rFonts w:ascii="Arial" w:cs="Arial" w:eastAsia="Arial" w:hAnsi="Arial"/>
          <w:sz w:val="16"/>
          <w:szCs w:val="16"/>
          <w:color w:val="auto"/>
        </w:rPr>
        <w:t>All employees in the United States, including the NEOs, are eligible to participate in the Company’s Employee Savings and Investment Plan (“401(k) Plan”), a tax-qualified defined contribution retirement savings plan that includes a Company matching contribution feature.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w:t>
      </w:r>
    </w:p>
    <w:p>
      <w:pPr>
        <w:spacing w:after="0" w:line="4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NEOs and certain other executives selected by the Committee are eligible to participate in the Company’s Amended and Restated Deferred Compensation Plan for Executives (“DCP”). The DCP is designed to offer retirement benefits to the NEOs, senior management and key employees, consistent with overall market practices, to attract and retain the talent needed in the Company. Under the DCP, participants may defer amounts from their base salary and cash bonus (if any) annually, and the Company will credit to the account of each participant a matching contribution in an amount equal to one hundred percent of the compensation deferral, up to a maximum match equal to either 10% (for “Group I” participants) or 5% (for “Group II” participants) of the participant’s base salary. During fiscal 2026, Messrs. E. Grinberg and Soltani and Ms. DeMarsilis were Group I participants and Mr. Sussis and Ms. Kennedy were Group II participants. Twenty percent of the Company’s matching contribution is in the form of rights to receive Common Stock. All matching contributions vest ratably in annual installments over five years.</w:t>
      </w:r>
    </w:p>
    <w:p>
      <w:pPr>
        <w:spacing w:after="0" w:line="13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DCP also permits the Company to make discretionary supplemental contributions to any participant’s DCP account, although the Committee elected not to make any discretionary contributions during fiscal 2026.</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Movado Group, Inc.        26</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Participants may direct the investment of amounts in their DCP accounts (other than rights to receive Common Stock) among third-party investment funds that are made available to them under the plan. Those funds largely track the funds offered under the 401(k) Plan. Further information regarding the participation by the NEOs in the DCP is discussed in further detail under the heading “NONQUALIFIED DEFERRED COMPENSATION”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Severance and Change of Control Agreements</w:t>
      </w:r>
    </w:p>
    <w:p>
      <w:pPr>
        <w:spacing w:after="0" w:line="4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Company does not have severance agreements with any of the NEOs. See POTENTIAL PAYMENTS ON TERMINATION OR CHANGE IN CONTROL, below, for a description of certain compensation plan benefits that apply in the event of a change in control of the Company or the death or disability of an NEO.</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Perquisites and Other Personal Benefits</w:t>
      </w:r>
    </w:p>
    <w:p>
      <w:pPr>
        <w:spacing w:after="0" w:line="4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As part of providing a competitive executive compensation program, the Company provides to the CEO and the other NEOs certain perquisites, described below, that the Company and the Committee believe are reasonable and consistent with its overall compensation program. The Committee reviews annually the levels of perquisites provided to the NEOs.</w:t>
      </w:r>
    </w:p>
    <w:p>
      <w:pPr>
        <w:spacing w:after="0" w:line="125"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The Company provides certain NEOs with a taxable car allowance and, in the case of Mr. E. Grinberg, automobile insurance reimbursement.</w:t>
      </w:r>
    </w:p>
    <w:p>
      <w:pPr>
        <w:spacing w:after="0" w:line="10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Company pays the CFO a taxable housing allowance for the rental of an apartment located near the Company’s New Jersey headquarters.</w:t>
      </w:r>
    </w:p>
    <w:p>
      <w:pPr>
        <w:spacing w:after="0" w:line="102"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In fiscal 2026, the Company reimbursed Ms. Kennedy for certain costs of a cross-country relocation to the New York metropolitan area, where the Company’s corporate headquarters are located.</w:t>
      </w:r>
    </w:p>
    <w:p>
      <w:pPr>
        <w:spacing w:after="0" w:line="102"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Company has purchased life insurance policies insuring Mr. E. Grinberg and pays the premiums for that insurance. Under the Company’s arrangement with Mr. E. Grinberg, the named insured is entitled to the cash surrender value in respect of these life insurance policies and the respective beneficiaries are entitled to the applicable death benefits without, in either event, reimbursement to the Company.</w:t>
      </w:r>
    </w:p>
    <w:p>
      <w:pPr>
        <w:spacing w:after="0" w:line="124"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Attributed costs of the perquisites described above for the NEOs for fiscal 2026 are included in the “All Other Compensation” column of the SUMMARY COMPENSATION TABLE below.</w:t>
      </w:r>
    </w:p>
    <w:p>
      <w:pPr>
        <w:spacing w:after="0" w:line="3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AND ACCOUNTING IMPLICATIONS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Deductibility of Executive Compensation</w:t>
      </w:r>
    </w:p>
    <w:p>
      <w:pPr>
        <w:spacing w:after="0" w:line="34"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Section 162(m) of the Internal Revenue Code places a limit of $1,000,000 on the annual amount of compensation that publicly held companies may deduct for federal income tax purposes for certain “covered employees,” including our NEOs. The Committee reviews compensation plans in light of applicable tax provisions, including Section 162(m), and may revise compensation plans from time to time. However, the Committee approves compensation that does not qualify for deductibility when deemed to be in the Company’s best interests.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Accounting for Stock-Based Compensation</w:t>
      </w:r>
    </w:p>
    <w:p>
      <w:pPr>
        <w:spacing w:after="0" w:line="34"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The Company accounts for stock-based payments in accordance with the requirements of FASB ASC Topic 718. The Committee considers the expense implications of equity compensation awards in determining aggregate annual award levels.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Movado Group, Inc.        27</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Compensation and Human Capital Committee Report</w:t>
      </w:r>
    </w:p>
    <w:p>
      <w:pPr>
        <w:spacing w:after="0" w:line="96" w:lineRule="exact"/>
        <w:rPr>
          <w:sz w:val="20"/>
          <w:szCs w:val="20"/>
          <w:color w:val="auto"/>
        </w:rPr>
      </w:pPr>
    </w:p>
    <w:p>
      <w:pPr>
        <w:ind w:right="119"/>
        <w:spacing w:after="0" w:line="259" w:lineRule="auto"/>
        <w:rPr>
          <w:sz w:val="20"/>
          <w:szCs w:val="20"/>
          <w:color w:val="auto"/>
        </w:rPr>
      </w:pPr>
      <w:r>
        <w:rPr>
          <w:rFonts w:ascii="Arial" w:cs="Arial" w:eastAsia="Arial" w:hAnsi="Arial"/>
          <w:sz w:val="16"/>
          <w:szCs w:val="16"/>
          <w:color w:val="auto"/>
        </w:rPr>
        <w:t>The Compensation and Human Capital Committee of the Company has reviewed and discussed the Compensation Discussion and Analysis required by Item 402(b) of Regulation S-K with management and, based on such review and discussions, the Committee recommended to the Board of Directors that the Compensation Discussion and Analysis be included in this proxy statement and the Company’s Annual Report on Form 10-K for the year ended January 31, 2026.</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AND HUMAN CAPITAL COMMITTEE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Alan H. Howard, Committee Chair, Lead Director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Ann Kirschner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Stephen Sadove</w:t>
      </w:r>
    </w:p>
    <w:p>
      <w:pPr>
        <w:spacing w:after="0" w:line="201" w:lineRule="exact"/>
        <w:rPr>
          <w:sz w:val="20"/>
          <w:szCs w:val="20"/>
          <w:color w:val="auto"/>
        </w:rPr>
      </w:pPr>
    </w:p>
    <w:p>
      <w:pPr>
        <w:jc w:val="center"/>
        <w:ind w:right="-200"/>
        <w:spacing w:after="0"/>
        <w:rPr>
          <w:sz w:val="20"/>
          <w:szCs w:val="20"/>
          <w:color w:val="auto"/>
        </w:rPr>
      </w:pPr>
      <w:r>
        <w:rPr>
          <w:rFonts w:ascii="Arial" w:cs="Arial" w:eastAsia="Arial" w:hAnsi="Arial"/>
          <w:sz w:val="13"/>
          <w:szCs w:val="13"/>
          <w:b w:val="1"/>
          <w:bCs w:val="1"/>
          <w:color w:val="auto"/>
        </w:rPr>
        <w:t>Movado Group, Inc.        28</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19"/>
          </w:cols>
          <w:pgMar w:left="1240" w:top="114" w:right="1440"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Summary Compensation Table For Fiscal 2026</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following Summary Compensation Table sets forth information about the compensation paid in respect of fiscal 2026 by the Company to the CEO, the CFO and the three most highly compensated executive officers of the Company other than the CEO and the CFO who were serving as executive officers at January 31, 2026. The foregoing individuals are referred to in this proxy statement as the “named executive officers.”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4"/>
                <w:szCs w:val="14"/>
                <w:color w:val="auto"/>
              </w:rPr>
            </w:pPr>
          </w:p>
        </w:tc>
        <w:tc>
          <w:tcPr>
            <w:tcW w:w="1640" w:type="dxa"/>
            <w:vAlign w:val="bottom"/>
          </w:tcPr>
          <w:p>
            <w:pPr>
              <w:ind w:left="60"/>
              <w:spacing w:after="0"/>
              <w:rPr>
                <w:sz w:val="20"/>
                <w:szCs w:val="20"/>
                <w:color w:val="auto"/>
              </w:rPr>
            </w:pPr>
            <w:r>
              <w:rPr>
                <w:rFonts w:ascii="Arial" w:cs="Arial" w:eastAsia="Arial" w:hAnsi="Arial"/>
                <w:sz w:val="13"/>
                <w:szCs w:val="13"/>
                <w:b w:val="1"/>
                <w:bCs w:val="1"/>
                <w:color w:val="auto"/>
              </w:rPr>
              <w:t>(A)</w:t>
            </w:r>
          </w:p>
        </w:tc>
        <w:tc>
          <w:tcPr>
            <w:tcW w:w="120" w:type="dxa"/>
            <w:vAlign w:val="bottom"/>
          </w:tcPr>
          <w:p>
            <w:pPr>
              <w:spacing w:after="0"/>
              <w:rPr>
                <w:sz w:val="14"/>
                <w:szCs w:val="14"/>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(B)</w:t>
            </w:r>
          </w:p>
        </w:tc>
        <w:tc>
          <w:tcPr>
            <w:tcW w:w="900" w:type="dxa"/>
            <w:vAlign w:val="bottom"/>
          </w:tcPr>
          <w:p>
            <w:pPr>
              <w:jc w:val="right"/>
              <w:ind w:right="70"/>
              <w:spacing w:after="0"/>
              <w:rPr>
                <w:sz w:val="20"/>
                <w:szCs w:val="20"/>
                <w:color w:val="auto"/>
              </w:rPr>
            </w:pPr>
            <w:r>
              <w:rPr>
                <w:rFonts w:ascii="Arial" w:cs="Arial" w:eastAsia="Arial" w:hAnsi="Arial"/>
                <w:sz w:val="13"/>
                <w:szCs w:val="13"/>
                <w:b w:val="1"/>
                <w:bCs w:val="1"/>
                <w:color w:val="auto"/>
              </w:rPr>
              <w:t>(C)</w:t>
            </w: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rPr>
              <w:t>(D)</w:t>
            </w: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rPr>
              <w:t>(E)</w:t>
            </w:r>
          </w:p>
        </w:tc>
        <w:tc>
          <w:tcPr>
            <w:tcW w:w="820" w:type="dxa"/>
            <w:vAlign w:val="bottom"/>
          </w:tcPr>
          <w:p>
            <w:pPr>
              <w:jc w:val="right"/>
              <w:ind w:right="71"/>
              <w:spacing w:after="0"/>
              <w:rPr>
                <w:sz w:val="20"/>
                <w:szCs w:val="20"/>
                <w:color w:val="auto"/>
              </w:rPr>
            </w:pPr>
            <w:r>
              <w:rPr>
                <w:rFonts w:ascii="Arial" w:cs="Arial" w:eastAsia="Arial" w:hAnsi="Arial"/>
                <w:sz w:val="13"/>
                <w:szCs w:val="13"/>
                <w:b w:val="1"/>
                <w:bCs w:val="1"/>
                <w:color w:val="auto"/>
              </w:rPr>
              <w:t>(F)</w:t>
            </w:r>
          </w:p>
        </w:tc>
        <w:tc>
          <w:tcPr>
            <w:tcW w:w="1280" w:type="dxa"/>
            <w:vAlign w:val="bottom"/>
          </w:tcPr>
          <w:p>
            <w:pPr>
              <w:jc w:val="right"/>
              <w:ind w:right="72"/>
              <w:spacing w:after="0"/>
              <w:rPr>
                <w:sz w:val="20"/>
                <w:szCs w:val="20"/>
                <w:color w:val="auto"/>
              </w:rPr>
            </w:pPr>
            <w:r>
              <w:rPr>
                <w:rFonts w:ascii="Arial" w:cs="Arial" w:eastAsia="Arial" w:hAnsi="Arial"/>
                <w:sz w:val="13"/>
                <w:szCs w:val="13"/>
                <w:b w:val="1"/>
                <w:bCs w:val="1"/>
                <w:color w:val="auto"/>
              </w:rPr>
              <w:t>(G)</w:t>
            </w:r>
          </w:p>
        </w:tc>
        <w:tc>
          <w:tcPr>
            <w:tcW w:w="1300" w:type="dxa"/>
            <w:vAlign w:val="bottom"/>
          </w:tcPr>
          <w:p>
            <w:pPr>
              <w:jc w:val="right"/>
              <w:ind w:right="90"/>
              <w:spacing w:after="0"/>
              <w:rPr>
                <w:sz w:val="20"/>
                <w:szCs w:val="20"/>
                <w:color w:val="auto"/>
              </w:rPr>
            </w:pPr>
            <w:r>
              <w:rPr>
                <w:rFonts w:ascii="Arial" w:cs="Arial" w:eastAsia="Arial" w:hAnsi="Arial"/>
                <w:sz w:val="13"/>
                <w:szCs w:val="13"/>
                <w:b w:val="1"/>
                <w:bCs w:val="1"/>
                <w:color w:val="auto"/>
              </w:rPr>
              <w:t>(I)</w:t>
            </w:r>
          </w:p>
        </w:tc>
        <w:tc>
          <w:tcPr>
            <w:tcW w:w="900" w:type="dxa"/>
            <w:vAlign w:val="bottom"/>
          </w:tcPr>
          <w:p>
            <w:pPr>
              <w:jc w:val="right"/>
              <w:ind w:right="30"/>
              <w:spacing w:after="0"/>
              <w:rPr>
                <w:sz w:val="20"/>
                <w:szCs w:val="20"/>
                <w:color w:val="auto"/>
              </w:rPr>
            </w:pPr>
            <w:r>
              <w:rPr>
                <w:rFonts w:ascii="Arial" w:cs="Arial" w:eastAsia="Arial" w:hAnsi="Arial"/>
                <w:sz w:val="13"/>
                <w:szCs w:val="13"/>
                <w:b w:val="1"/>
                <w:bCs w:val="1"/>
                <w:color w:val="auto"/>
              </w:rPr>
              <w:t>(J)</w:t>
            </w:r>
          </w:p>
        </w:tc>
        <w:tc>
          <w:tcPr>
            <w:tcW w:w="0" w:type="dxa"/>
            <w:vAlign w:val="bottom"/>
          </w:tcPr>
          <w:p>
            <w:pPr>
              <w:spacing w:after="0"/>
              <w:rPr>
                <w:sz w:val="1"/>
                <w:szCs w:val="1"/>
                <w:color w:val="auto"/>
              </w:rPr>
            </w:pPr>
          </w:p>
        </w:tc>
      </w:tr>
      <w:tr>
        <w:trPr>
          <w:trHeight w:val="62"/>
        </w:trPr>
        <w:tc>
          <w:tcPr>
            <w:tcW w:w="100" w:type="dxa"/>
            <w:vAlign w:val="bottom"/>
            <w:tcBorders>
              <w:bottom w:val="single" w:sz="8" w:color="D9BA05"/>
            </w:tcBorders>
          </w:tcPr>
          <w:p>
            <w:pPr>
              <w:spacing w:after="0"/>
              <w:rPr>
                <w:sz w:val="5"/>
                <w:szCs w:val="5"/>
                <w:color w:val="auto"/>
              </w:rPr>
            </w:pPr>
          </w:p>
        </w:tc>
        <w:tc>
          <w:tcPr>
            <w:tcW w:w="1640" w:type="dxa"/>
            <w:vAlign w:val="bottom"/>
            <w:tcBorders>
              <w:bottom w:val="single" w:sz="8" w:color="D9BA05"/>
            </w:tcBorders>
          </w:tcPr>
          <w:p>
            <w:pPr>
              <w:spacing w:after="0"/>
              <w:rPr>
                <w:sz w:val="5"/>
                <w:szCs w:val="5"/>
                <w:color w:val="auto"/>
              </w:rPr>
            </w:pPr>
          </w:p>
        </w:tc>
        <w:tc>
          <w:tcPr>
            <w:tcW w:w="120" w:type="dxa"/>
            <w:vAlign w:val="bottom"/>
            <w:tcBorders>
              <w:bottom w:val="single" w:sz="8" w:color="D9BA05"/>
            </w:tcBorders>
          </w:tcPr>
          <w:p>
            <w:pPr>
              <w:spacing w:after="0"/>
              <w:rPr>
                <w:sz w:val="5"/>
                <w:szCs w:val="5"/>
                <w:color w:val="auto"/>
              </w:rPr>
            </w:pPr>
          </w:p>
        </w:tc>
        <w:tc>
          <w:tcPr>
            <w:tcW w:w="460" w:type="dxa"/>
            <w:vAlign w:val="bottom"/>
            <w:tcBorders>
              <w:bottom w:val="single" w:sz="8" w:color="D9BA05"/>
            </w:tcBorders>
          </w:tcPr>
          <w:p>
            <w:pPr>
              <w:spacing w:after="0"/>
              <w:rPr>
                <w:sz w:val="5"/>
                <w:szCs w:val="5"/>
                <w:color w:val="auto"/>
              </w:rPr>
            </w:pPr>
          </w:p>
        </w:tc>
        <w:tc>
          <w:tcPr>
            <w:tcW w:w="120" w:type="dxa"/>
            <w:vAlign w:val="bottom"/>
            <w:tcBorders>
              <w:bottom w:val="single" w:sz="8" w:color="D9BA05"/>
            </w:tcBorders>
          </w:tcPr>
          <w:p>
            <w:pPr>
              <w:spacing w:after="0"/>
              <w:rPr>
                <w:sz w:val="5"/>
                <w:szCs w:val="5"/>
                <w:color w:val="auto"/>
              </w:rPr>
            </w:pPr>
          </w:p>
        </w:tc>
        <w:tc>
          <w:tcPr>
            <w:tcW w:w="900" w:type="dxa"/>
            <w:vAlign w:val="bottom"/>
            <w:tcBorders>
              <w:bottom w:val="single" w:sz="8" w:color="D9BA05"/>
            </w:tcBorders>
          </w:tcPr>
          <w:p>
            <w:pPr>
              <w:spacing w:after="0"/>
              <w:rPr>
                <w:sz w:val="5"/>
                <w:szCs w:val="5"/>
                <w:color w:val="auto"/>
              </w:rPr>
            </w:pPr>
          </w:p>
        </w:tc>
        <w:tc>
          <w:tcPr>
            <w:tcW w:w="880" w:type="dxa"/>
            <w:vAlign w:val="bottom"/>
            <w:tcBorders>
              <w:bottom w:val="single" w:sz="8" w:color="D9BA05"/>
            </w:tcBorders>
          </w:tcPr>
          <w:p>
            <w:pPr>
              <w:spacing w:after="0"/>
              <w:rPr>
                <w:sz w:val="5"/>
                <w:szCs w:val="5"/>
                <w:color w:val="auto"/>
              </w:rPr>
            </w:pPr>
          </w:p>
        </w:tc>
        <w:tc>
          <w:tcPr>
            <w:tcW w:w="880" w:type="dxa"/>
            <w:vAlign w:val="bottom"/>
            <w:tcBorders>
              <w:bottom w:val="single" w:sz="8" w:color="D9BA05"/>
            </w:tcBorders>
          </w:tcPr>
          <w:p>
            <w:pPr>
              <w:spacing w:after="0"/>
              <w:rPr>
                <w:sz w:val="5"/>
                <w:szCs w:val="5"/>
                <w:color w:val="auto"/>
              </w:rPr>
            </w:pPr>
          </w:p>
        </w:tc>
        <w:tc>
          <w:tcPr>
            <w:tcW w:w="820" w:type="dxa"/>
            <w:vAlign w:val="bottom"/>
            <w:tcBorders>
              <w:bottom w:val="single" w:sz="8" w:color="D9BA05"/>
            </w:tcBorders>
          </w:tcPr>
          <w:p>
            <w:pPr>
              <w:spacing w:after="0"/>
              <w:rPr>
                <w:sz w:val="5"/>
                <w:szCs w:val="5"/>
                <w:color w:val="auto"/>
              </w:rPr>
            </w:pPr>
          </w:p>
        </w:tc>
        <w:tc>
          <w:tcPr>
            <w:tcW w:w="1280" w:type="dxa"/>
            <w:vAlign w:val="bottom"/>
            <w:tcBorders>
              <w:bottom w:val="single" w:sz="8" w:color="D9BA05"/>
            </w:tcBorders>
          </w:tcPr>
          <w:p>
            <w:pPr>
              <w:spacing w:after="0"/>
              <w:rPr>
                <w:sz w:val="5"/>
                <w:szCs w:val="5"/>
                <w:color w:val="auto"/>
              </w:rPr>
            </w:pPr>
          </w:p>
        </w:tc>
        <w:tc>
          <w:tcPr>
            <w:tcW w:w="1300" w:type="dxa"/>
            <w:vAlign w:val="bottom"/>
            <w:tcBorders>
              <w:bottom w:val="single" w:sz="8" w:color="D9BA05"/>
            </w:tcBorders>
          </w:tcPr>
          <w:p>
            <w:pPr>
              <w:spacing w:after="0"/>
              <w:rPr>
                <w:sz w:val="5"/>
                <w:szCs w:val="5"/>
                <w:color w:val="auto"/>
              </w:rPr>
            </w:pPr>
          </w:p>
        </w:tc>
        <w:tc>
          <w:tcPr>
            <w:tcW w:w="900" w:type="dxa"/>
            <w:vAlign w:val="bottom"/>
            <w:tcBorders>
              <w:bottom w:val="single" w:sz="8" w:color="D9BA05"/>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80" w:type="dxa"/>
            <w:vAlign w:val="bottom"/>
          </w:tcPr>
          <w:p>
            <w:pPr>
              <w:jc w:val="right"/>
              <w:ind w:right="92"/>
              <w:spacing w:after="0"/>
              <w:rPr>
                <w:sz w:val="20"/>
                <w:szCs w:val="20"/>
                <w:color w:val="auto"/>
              </w:rPr>
            </w:pPr>
            <w:r>
              <w:rPr>
                <w:rFonts w:ascii="Arial" w:cs="Arial" w:eastAsia="Arial" w:hAnsi="Arial"/>
                <w:sz w:val="13"/>
                <w:szCs w:val="13"/>
                <w:b w:val="1"/>
                <w:bCs w:val="1"/>
                <w:color w:val="auto"/>
              </w:rPr>
              <w:t>NON-EQUITY</w:t>
            </w:r>
          </w:p>
        </w:tc>
        <w:tc>
          <w:tcPr>
            <w:tcW w:w="13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jc w:val="right"/>
              <w:ind w:right="72"/>
              <w:spacing w:after="0" w:line="135" w:lineRule="exact"/>
              <w:rPr>
                <w:sz w:val="20"/>
                <w:szCs w:val="20"/>
                <w:color w:val="auto"/>
              </w:rPr>
            </w:pPr>
            <w:r>
              <w:rPr>
                <w:rFonts w:ascii="Arial" w:cs="Arial" w:eastAsia="Arial" w:hAnsi="Arial"/>
                <w:sz w:val="13"/>
                <w:szCs w:val="13"/>
                <w:b w:val="1"/>
                <w:bCs w:val="1"/>
                <w:color w:val="auto"/>
              </w:rPr>
              <w:t>INCENTIVE</w:t>
            </w:r>
          </w:p>
        </w:tc>
        <w:tc>
          <w:tcPr>
            <w:tcW w:w="13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00" w:type="dxa"/>
            <w:vAlign w:val="bottom"/>
          </w:tcPr>
          <w:p>
            <w:pPr>
              <w:spacing w:after="0"/>
              <w:rPr>
                <w:sz w:val="14"/>
                <w:szCs w:val="14"/>
                <w:color w:val="auto"/>
              </w:rPr>
            </w:pPr>
          </w:p>
        </w:tc>
        <w:tc>
          <w:tcPr>
            <w:tcW w:w="16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NAME AND</w:t>
            </w:r>
          </w:p>
        </w:tc>
        <w:tc>
          <w:tcPr>
            <w:tcW w:w="120" w:type="dxa"/>
            <w:vAlign w:val="bottom"/>
          </w:tcPr>
          <w:p>
            <w:pPr>
              <w:spacing w:after="0"/>
              <w:rPr>
                <w:sz w:val="14"/>
                <w:szCs w:val="14"/>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93"/>
              </w:rPr>
              <w:t>FISCAL</w:t>
            </w:r>
          </w:p>
        </w:tc>
        <w:tc>
          <w:tcPr>
            <w:tcW w:w="900" w:type="dxa"/>
            <w:vAlign w:val="bottom"/>
            <w:vMerge w:val="restart"/>
          </w:tcPr>
          <w:p>
            <w:pPr>
              <w:jc w:val="right"/>
              <w:ind w:right="90"/>
              <w:spacing w:after="0"/>
              <w:rPr>
                <w:sz w:val="20"/>
                <w:szCs w:val="20"/>
                <w:color w:val="auto"/>
              </w:rPr>
            </w:pPr>
            <w:r>
              <w:rPr>
                <w:rFonts w:ascii="Arial" w:cs="Arial" w:eastAsia="Arial" w:hAnsi="Arial"/>
                <w:sz w:val="13"/>
                <w:szCs w:val="13"/>
                <w:b w:val="1"/>
                <w:bCs w:val="1"/>
                <w:color w:val="auto"/>
              </w:rPr>
              <w:t>SALARY</w:t>
            </w:r>
          </w:p>
        </w:tc>
        <w:tc>
          <w:tcPr>
            <w:tcW w:w="880" w:type="dxa"/>
            <w:vAlign w:val="bottom"/>
            <w:vMerge w:val="restart"/>
          </w:tcPr>
          <w:p>
            <w:pPr>
              <w:jc w:val="right"/>
              <w:ind w:right="90"/>
              <w:spacing w:after="0"/>
              <w:rPr>
                <w:sz w:val="20"/>
                <w:szCs w:val="20"/>
                <w:color w:val="auto"/>
              </w:rPr>
            </w:pPr>
            <w:r>
              <w:rPr>
                <w:rFonts w:ascii="Arial" w:cs="Arial" w:eastAsia="Arial" w:hAnsi="Arial"/>
                <w:sz w:val="13"/>
                <w:szCs w:val="13"/>
                <w:b w:val="1"/>
                <w:bCs w:val="1"/>
                <w:color w:val="auto"/>
              </w:rPr>
              <w:t>BONUS</w:t>
            </w:r>
          </w:p>
        </w:tc>
        <w:tc>
          <w:tcPr>
            <w:tcW w:w="880" w:type="dxa"/>
            <w:vAlign w:val="bottom"/>
          </w:tcPr>
          <w:p>
            <w:pPr>
              <w:jc w:val="right"/>
              <w:ind w:right="70"/>
              <w:spacing w:after="0"/>
              <w:rPr>
                <w:sz w:val="20"/>
                <w:szCs w:val="20"/>
                <w:color w:val="auto"/>
              </w:rPr>
            </w:pPr>
            <w:r>
              <w:rPr>
                <w:rFonts w:ascii="Arial" w:cs="Arial" w:eastAsia="Arial" w:hAnsi="Arial"/>
                <w:sz w:val="13"/>
                <w:szCs w:val="13"/>
                <w:b w:val="1"/>
                <w:bCs w:val="1"/>
                <w:color w:val="auto"/>
              </w:rPr>
              <w:t>STOCK</w:t>
            </w:r>
          </w:p>
        </w:tc>
        <w:tc>
          <w:tcPr>
            <w:tcW w:w="820" w:type="dxa"/>
            <w:vAlign w:val="bottom"/>
          </w:tcPr>
          <w:p>
            <w:pPr>
              <w:jc w:val="right"/>
              <w:ind w:right="111"/>
              <w:spacing w:after="0"/>
              <w:rPr>
                <w:sz w:val="20"/>
                <w:szCs w:val="20"/>
                <w:color w:val="auto"/>
              </w:rPr>
            </w:pPr>
            <w:r>
              <w:rPr>
                <w:rFonts w:ascii="Arial" w:cs="Arial" w:eastAsia="Arial" w:hAnsi="Arial"/>
                <w:sz w:val="13"/>
                <w:szCs w:val="13"/>
                <w:b w:val="1"/>
                <w:bCs w:val="1"/>
                <w:color w:val="auto"/>
              </w:rPr>
              <w:t>OPTION</w:t>
            </w:r>
          </w:p>
        </w:tc>
        <w:tc>
          <w:tcPr>
            <w:tcW w:w="1280" w:type="dxa"/>
            <w:vAlign w:val="bottom"/>
          </w:tcPr>
          <w:p>
            <w:pPr>
              <w:jc w:val="right"/>
              <w:ind w:right="92"/>
              <w:spacing w:after="0"/>
              <w:rPr>
                <w:sz w:val="20"/>
                <w:szCs w:val="20"/>
                <w:color w:val="auto"/>
              </w:rPr>
            </w:pPr>
            <w:r>
              <w:rPr>
                <w:rFonts w:ascii="Arial" w:cs="Arial" w:eastAsia="Arial" w:hAnsi="Arial"/>
                <w:sz w:val="13"/>
                <w:szCs w:val="13"/>
                <w:b w:val="1"/>
                <w:bCs w:val="1"/>
                <w:color w:val="auto"/>
              </w:rPr>
              <w:t>PLAN</w:t>
            </w:r>
          </w:p>
        </w:tc>
        <w:tc>
          <w:tcPr>
            <w:tcW w:w="1300" w:type="dxa"/>
            <w:vAlign w:val="bottom"/>
          </w:tcPr>
          <w:p>
            <w:pPr>
              <w:jc w:val="right"/>
              <w:ind w:right="130"/>
              <w:spacing w:after="0"/>
              <w:rPr>
                <w:sz w:val="20"/>
                <w:szCs w:val="20"/>
                <w:color w:val="auto"/>
              </w:rPr>
            </w:pPr>
            <w:r>
              <w:rPr>
                <w:rFonts w:ascii="Arial" w:cs="Arial" w:eastAsia="Arial" w:hAnsi="Arial"/>
                <w:sz w:val="13"/>
                <w:szCs w:val="13"/>
                <w:b w:val="1"/>
                <w:bCs w:val="1"/>
                <w:color w:val="auto"/>
              </w:rPr>
              <w:t>ALL OTHER</w:t>
            </w:r>
          </w:p>
        </w:tc>
        <w:tc>
          <w:tcPr>
            <w:tcW w:w="90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100" w:type="dxa"/>
            <w:vAlign w:val="bottom"/>
          </w:tcPr>
          <w:p>
            <w:pPr>
              <w:spacing w:after="0"/>
              <w:rPr>
                <w:sz w:val="11"/>
                <w:szCs w:val="11"/>
                <w:color w:val="auto"/>
              </w:rPr>
            </w:pPr>
          </w:p>
        </w:tc>
        <w:tc>
          <w:tcPr>
            <w:tcW w:w="1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8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rPr>
              <w:t>AWARDS</w:t>
            </w:r>
          </w:p>
        </w:tc>
        <w:tc>
          <w:tcPr>
            <w:tcW w:w="82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rPr>
              <w:t>AWARDS</w:t>
            </w:r>
          </w:p>
        </w:tc>
        <w:tc>
          <w:tcPr>
            <w:tcW w:w="1280" w:type="dxa"/>
            <w:vAlign w:val="bottom"/>
          </w:tcPr>
          <w:p>
            <w:pPr>
              <w:jc w:val="right"/>
              <w:ind w:right="72"/>
              <w:spacing w:after="0" w:line="135" w:lineRule="exact"/>
              <w:rPr>
                <w:sz w:val="20"/>
                <w:szCs w:val="20"/>
                <w:color w:val="auto"/>
              </w:rPr>
            </w:pPr>
            <w:r>
              <w:rPr>
                <w:rFonts w:ascii="Arial" w:cs="Arial" w:eastAsia="Arial" w:hAnsi="Arial"/>
                <w:sz w:val="13"/>
                <w:szCs w:val="13"/>
                <w:b w:val="1"/>
                <w:bCs w:val="1"/>
                <w:color w:val="auto"/>
              </w:rPr>
              <w:t>COMPENSATION</w:t>
            </w:r>
          </w:p>
        </w:tc>
        <w:tc>
          <w:tcPr>
            <w:tcW w:w="1300" w:type="dxa"/>
            <w:vAlign w:val="bottom"/>
          </w:tcPr>
          <w:p>
            <w:pPr>
              <w:jc w:val="right"/>
              <w:ind w:right="90"/>
              <w:spacing w:after="0" w:line="135" w:lineRule="exact"/>
              <w:rPr>
                <w:sz w:val="20"/>
                <w:szCs w:val="20"/>
                <w:color w:val="auto"/>
              </w:rPr>
            </w:pPr>
            <w:r>
              <w:rPr>
                <w:rFonts w:ascii="Arial" w:cs="Arial" w:eastAsia="Arial" w:hAnsi="Arial"/>
                <w:sz w:val="13"/>
                <w:szCs w:val="13"/>
                <w:b w:val="1"/>
                <w:bCs w:val="1"/>
                <w:color w:val="auto"/>
              </w:rPr>
              <w:t>COMPENSATION</w:t>
            </w: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00" w:type="dxa"/>
            <w:vAlign w:val="bottom"/>
          </w:tcPr>
          <w:p>
            <w:pPr>
              <w:spacing w:after="0"/>
              <w:rPr>
                <w:sz w:val="21"/>
                <w:szCs w:val="21"/>
                <w:color w:val="auto"/>
              </w:rPr>
            </w:pPr>
          </w:p>
        </w:tc>
        <w:tc>
          <w:tcPr>
            <w:tcW w:w="1640" w:type="dxa"/>
            <w:vAlign w:val="bottom"/>
          </w:tcPr>
          <w:p>
            <w:pPr>
              <w:ind w:left="60"/>
              <w:spacing w:after="0"/>
              <w:rPr>
                <w:sz w:val="20"/>
                <w:szCs w:val="20"/>
                <w:color w:val="auto"/>
              </w:rPr>
            </w:pPr>
            <w:r>
              <w:rPr>
                <w:rFonts w:ascii="Arial" w:cs="Arial" w:eastAsia="Arial" w:hAnsi="Arial"/>
                <w:sz w:val="13"/>
                <w:szCs w:val="13"/>
                <w:b w:val="1"/>
                <w:bCs w:val="1"/>
                <w:color w:val="auto"/>
              </w:rPr>
              <w:t>PRINCIPAL POSITION</w:t>
            </w:r>
          </w:p>
        </w:tc>
        <w:tc>
          <w:tcPr>
            <w:tcW w:w="12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YEAR</w:t>
            </w:r>
          </w:p>
        </w:tc>
        <w:tc>
          <w:tcPr>
            <w:tcW w:w="900" w:type="dxa"/>
            <w:vAlign w:val="bottom"/>
          </w:tcPr>
          <w:p>
            <w:pPr>
              <w:jc w:val="right"/>
              <w:ind w:right="70"/>
              <w:spacing w:after="0" w:line="242"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(1)</w:t>
            </w:r>
          </w:p>
        </w:tc>
        <w:tc>
          <w:tcPr>
            <w:tcW w:w="880" w:type="dxa"/>
            <w:vAlign w:val="bottom"/>
          </w:tcPr>
          <w:p>
            <w:pPr>
              <w:jc w:val="right"/>
              <w:ind w:right="50"/>
              <w:spacing w:after="0"/>
              <w:rPr>
                <w:sz w:val="20"/>
                <w:szCs w:val="20"/>
                <w:color w:val="auto"/>
              </w:rPr>
            </w:pPr>
            <w:r>
              <w:rPr>
                <w:rFonts w:ascii="Arial" w:cs="Arial" w:eastAsia="Arial" w:hAnsi="Arial"/>
                <w:sz w:val="13"/>
                <w:szCs w:val="13"/>
                <w:b w:val="1"/>
                <w:bCs w:val="1"/>
                <w:color w:val="auto"/>
              </w:rPr>
              <w:t>($)</w:t>
            </w:r>
          </w:p>
        </w:tc>
        <w:tc>
          <w:tcPr>
            <w:tcW w:w="880" w:type="dxa"/>
            <w:vAlign w:val="bottom"/>
          </w:tcPr>
          <w:p>
            <w:pPr>
              <w:jc w:val="right"/>
              <w:ind w:right="50"/>
              <w:spacing w:after="0" w:line="242"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(2)</w:t>
            </w:r>
          </w:p>
        </w:tc>
        <w:tc>
          <w:tcPr>
            <w:tcW w:w="820" w:type="dxa"/>
            <w:vAlign w:val="bottom"/>
          </w:tcPr>
          <w:p>
            <w:pPr>
              <w:jc w:val="right"/>
              <w:ind w:right="71"/>
              <w:spacing w:after="0" w:line="242"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(2)</w:t>
            </w:r>
          </w:p>
        </w:tc>
        <w:tc>
          <w:tcPr>
            <w:tcW w:w="1280" w:type="dxa"/>
            <w:vAlign w:val="bottom"/>
          </w:tcPr>
          <w:p>
            <w:pPr>
              <w:jc w:val="right"/>
              <w:ind w:right="72"/>
              <w:spacing w:after="0" w:line="242"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(3)</w:t>
            </w:r>
          </w:p>
        </w:tc>
        <w:tc>
          <w:tcPr>
            <w:tcW w:w="1300" w:type="dxa"/>
            <w:vAlign w:val="bottom"/>
          </w:tcPr>
          <w:p>
            <w:pPr>
              <w:jc w:val="right"/>
              <w:ind w:right="90"/>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ind w:right="3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303"/>
        </w:trPr>
        <w:tc>
          <w:tcPr>
            <w:tcW w:w="100" w:type="dxa"/>
            <w:vAlign w:val="bottom"/>
            <w:shd w:val="clear" w:color="auto" w:fill="E6E6E6"/>
          </w:tcPr>
          <w:p>
            <w:pPr>
              <w:spacing w:after="0"/>
              <w:rPr>
                <w:sz w:val="24"/>
                <w:szCs w:val="24"/>
                <w:color w:val="auto"/>
              </w:rPr>
            </w:pPr>
          </w:p>
        </w:tc>
        <w:tc>
          <w:tcPr>
            <w:tcW w:w="1640" w:type="dxa"/>
            <w:vAlign w:val="bottom"/>
            <w:shd w:val="clear" w:color="auto" w:fill="E6E6E6"/>
          </w:tcPr>
          <w:p>
            <w:pPr>
              <w:ind w:left="60"/>
              <w:spacing w:after="0"/>
              <w:rPr>
                <w:sz w:val="20"/>
                <w:szCs w:val="20"/>
                <w:color w:val="auto"/>
              </w:rPr>
            </w:pPr>
            <w:r>
              <w:rPr>
                <w:rFonts w:ascii="Arial" w:cs="Arial" w:eastAsia="Arial" w:hAnsi="Arial"/>
                <w:sz w:val="14"/>
                <w:szCs w:val="14"/>
                <w:b w:val="1"/>
                <w:bCs w:val="1"/>
                <w:color w:val="auto"/>
              </w:rPr>
              <w:t>Efraim Grinberg,</w:t>
            </w:r>
          </w:p>
        </w:tc>
        <w:tc>
          <w:tcPr>
            <w:tcW w:w="120" w:type="dxa"/>
            <w:vAlign w:val="bottom"/>
            <w:shd w:val="clear" w:color="auto" w:fill="E6E6E6"/>
          </w:tcPr>
          <w:p>
            <w:pPr>
              <w:spacing w:after="0"/>
              <w:rPr>
                <w:sz w:val="24"/>
                <w:szCs w:val="24"/>
                <w:color w:val="auto"/>
              </w:rPr>
            </w:pPr>
          </w:p>
        </w:tc>
        <w:tc>
          <w:tcPr>
            <w:tcW w:w="580" w:type="dxa"/>
            <w:vAlign w:val="bottom"/>
            <w:gridSpan w:val="2"/>
            <w:shd w:val="clear" w:color="auto" w:fill="E6E6E6"/>
          </w:tcPr>
          <w:p>
            <w:pPr>
              <w:jc w:val="right"/>
              <w:ind w:right="120"/>
              <w:spacing w:after="0"/>
              <w:rPr>
                <w:sz w:val="20"/>
                <w:szCs w:val="20"/>
                <w:color w:val="auto"/>
              </w:rPr>
            </w:pPr>
            <w:r>
              <w:rPr>
                <w:rFonts w:ascii="Arial" w:cs="Arial" w:eastAsia="Arial" w:hAnsi="Arial"/>
                <w:sz w:val="14"/>
                <w:szCs w:val="14"/>
                <w:color w:val="auto"/>
              </w:rPr>
              <w:t>2026</w:t>
            </w:r>
          </w:p>
        </w:tc>
        <w:tc>
          <w:tcPr>
            <w:tcW w:w="900" w:type="dxa"/>
            <w:vAlign w:val="bottom"/>
            <w:shd w:val="clear" w:color="auto" w:fill="E6E6E6"/>
          </w:tcPr>
          <w:p>
            <w:pPr>
              <w:jc w:val="right"/>
              <w:ind w:right="70"/>
              <w:spacing w:after="0"/>
              <w:rPr>
                <w:sz w:val="20"/>
                <w:szCs w:val="20"/>
                <w:color w:val="auto"/>
              </w:rPr>
            </w:pPr>
            <w:r>
              <w:rPr>
                <w:rFonts w:ascii="Arial" w:cs="Arial" w:eastAsia="Arial" w:hAnsi="Arial"/>
                <w:sz w:val="14"/>
                <w:szCs w:val="14"/>
                <w:color w:val="auto"/>
              </w:rPr>
              <w:t>1,300,001</w:t>
            </w:r>
          </w:p>
        </w:tc>
        <w:tc>
          <w:tcPr>
            <w:tcW w:w="880" w:type="dxa"/>
            <w:vAlign w:val="bottom"/>
            <w:shd w:val="clear" w:color="auto" w:fill="E6E6E6"/>
          </w:tcPr>
          <w:p>
            <w:pPr>
              <w:jc w:val="right"/>
              <w:ind w:right="50"/>
              <w:spacing w:after="0"/>
              <w:rPr>
                <w:sz w:val="20"/>
                <w:szCs w:val="20"/>
                <w:color w:val="auto"/>
              </w:rPr>
            </w:pPr>
            <w:r>
              <w:rPr>
                <w:rFonts w:ascii="Arial" w:cs="Arial" w:eastAsia="Arial" w:hAnsi="Arial"/>
                <w:sz w:val="14"/>
                <w:szCs w:val="14"/>
                <w:color w:val="auto"/>
              </w:rPr>
              <w:t>1,755,000</w:t>
            </w:r>
          </w:p>
        </w:tc>
        <w:tc>
          <w:tcPr>
            <w:tcW w:w="880" w:type="dxa"/>
            <w:vAlign w:val="bottom"/>
            <w:shd w:val="clear" w:color="auto" w:fill="E6E6E6"/>
          </w:tcPr>
          <w:p>
            <w:pPr>
              <w:jc w:val="right"/>
              <w:ind w:right="50"/>
              <w:spacing w:after="0"/>
              <w:rPr>
                <w:sz w:val="20"/>
                <w:szCs w:val="20"/>
                <w:color w:val="auto"/>
              </w:rPr>
            </w:pPr>
            <w:r>
              <w:rPr>
                <w:rFonts w:ascii="Arial" w:cs="Arial" w:eastAsia="Arial" w:hAnsi="Arial"/>
                <w:sz w:val="14"/>
                <w:szCs w:val="14"/>
                <w:color w:val="auto"/>
              </w:rPr>
              <w:t>1,949,998</w:t>
            </w:r>
          </w:p>
        </w:tc>
        <w:tc>
          <w:tcPr>
            <w:tcW w:w="82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1300" w:type="dxa"/>
            <w:vAlign w:val="bottom"/>
            <w:shd w:val="clear" w:color="auto" w:fill="E6E6E6"/>
          </w:tcPr>
          <w:p>
            <w:pPr>
              <w:jc w:val="right"/>
              <w:ind w:right="90"/>
              <w:spacing w:after="0"/>
              <w:rPr>
                <w:sz w:val="20"/>
                <w:szCs w:val="20"/>
                <w:color w:val="auto"/>
              </w:rPr>
            </w:pPr>
            <w:r>
              <w:rPr>
                <w:rFonts w:ascii="Arial" w:cs="Arial" w:eastAsia="Arial" w:hAnsi="Arial"/>
                <w:sz w:val="14"/>
                <w:szCs w:val="14"/>
                <w:color w:val="auto"/>
              </w:rPr>
              <w:t>223,255</w:t>
            </w:r>
            <w:r>
              <w:rPr>
                <w:rFonts w:ascii="Arial" w:cs="Arial" w:eastAsia="Arial" w:hAnsi="Arial"/>
                <w:sz w:val="23"/>
                <w:szCs w:val="23"/>
                <w:color w:val="auto"/>
                <w:vertAlign w:val="superscript"/>
              </w:rPr>
              <w:t>(4)</w:t>
            </w:r>
          </w:p>
        </w:tc>
        <w:tc>
          <w:tcPr>
            <w:tcW w:w="900" w:type="dxa"/>
            <w:vAlign w:val="bottom"/>
            <w:shd w:val="clear" w:color="auto" w:fill="E6E6E6"/>
          </w:tcPr>
          <w:p>
            <w:pPr>
              <w:jc w:val="right"/>
              <w:ind w:right="30"/>
              <w:spacing w:after="0"/>
              <w:rPr>
                <w:sz w:val="20"/>
                <w:szCs w:val="20"/>
                <w:color w:val="auto"/>
              </w:rPr>
            </w:pPr>
            <w:r>
              <w:rPr>
                <w:rFonts w:ascii="Arial" w:cs="Arial" w:eastAsia="Arial" w:hAnsi="Arial"/>
                <w:sz w:val="14"/>
                <w:szCs w:val="14"/>
                <w:color w:val="auto"/>
              </w:rPr>
              <w:t>5,228,254</w:t>
            </w:r>
          </w:p>
        </w:tc>
        <w:tc>
          <w:tcPr>
            <w:tcW w:w="0" w:type="dxa"/>
            <w:vAlign w:val="bottom"/>
          </w:tcPr>
          <w:p>
            <w:pPr>
              <w:spacing w:after="0"/>
              <w:rPr>
                <w:sz w:val="1"/>
                <w:szCs w:val="1"/>
                <w:color w:val="auto"/>
              </w:rPr>
            </w:pPr>
          </w:p>
        </w:tc>
      </w:tr>
      <w:tr>
        <w:trPr>
          <w:trHeight w:val="162"/>
        </w:trPr>
        <w:tc>
          <w:tcPr>
            <w:tcW w:w="100" w:type="dxa"/>
            <w:vAlign w:val="bottom"/>
            <w:shd w:val="clear" w:color="auto" w:fill="E6E6E6"/>
          </w:tcPr>
          <w:p>
            <w:pPr>
              <w:spacing w:after="0"/>
              <w:rPr>
                <w:sz w:val="14"/>
                <w:szCs w:val="14"/>
                <w:color w:val="auto"/>
              </w:rPr>
            </w:pPr>
          </w:p>
        </w:tc>
        <w:tc>
          <w:tcPr>
            <w:tcW w:w="1640" w:type="dxa"/>
            <w:vAlign w:val="bottom"/>
            <w:shd w:val="clear" w:color="auto" w:fill="E6E6E6"/>
          </w:tcPr>
          <w:p>
            <w:pPr>
              <w:ind w:left="60"/>
              <w:spacing w:after="0"/>
              <w:rPr>
                <w:sz w:val="20"/>
                <w:szCs w:val="20"/>
                <w:color w:val="auto"/>
              </w:rPr>
            </w:pPr>
            <w:r>
              <w:rPr>
                <w:rFonts w:ascii="Arial" w:cs="Arial" w:eastAsia="Arial" w:hAnsi="Arial"/>
                <w:sz w:val="14"/>
                <w:szCs w:val="14"/>
                <w:i w:val="1"/>
                <w:iCs w:val="1"/>
                <w:color w:val="auto"/>
              </w:rPr>
              <w:t>Chair and Chief</w:t>
            </w:r>
          </w:p>
        </w:tc>
        <w:tc>
          <w:tcPr>
            <w:tcW w:w="120" w:type="dxa"/>
            <w:vAlign w:val="bottom"/>
            <w:shd w:val="clear" w:color="auto" w:fill="E6E6E6"/>
          </w:tcPr>
          <w:p>
            <w:pPr>
              <w:spacing w:after="0"/>
              <w:rPr>
                <w:sz w:val="14"/>
                <w:szCs w:val="14"/>
                <w:color w:val="auto"/>
              </w:rPr>
            </w:pPr>
          </w:p>
        </w:tc>
        <w:tc>
          <w:tcPr>
            <w:tcW w:w="460" w:type="dxa"/>
            <w:vAlign w:val="bottom"/>
            <w:vMerge w:val="restart"/>
            <w:shd w:val="clear" w:color="auto" w:fill="E6E6E6"/>
          </w:tcPr>
          <w:p>
            <w:pPr>
              <w:jc w:val="right"/>
              <w:spacing w:after="0"/>
              <w:rPr>
                <w:sz w:val="20"/>
                <w:szCs w:val="20"/>
                <w:color w:val="auto"/>
              </w:rPr>
            </w:pPr>
            <w:r>
              <w:rPr>
                <w:rFonts w:ascii="Arial" w:cs="Arial" w:eastAsia="Arial" w:hAnsi="Arial"/>
                <w:sz w:val="14"/>
                <w:szCs w:val="14"/>
                <w:color w:val="auto"/>
              </w:rPr>
              <w:t>2025</w:t>
            </w:r>
          </w:p>
        </w:tc>
        <w:tc>
          <w:tcPr>
            <w:tcW w:w="120" w:type="dxa"/>
            <w:vAlign w:val="bottom"/>
            <w:shd w:val="clear" w:color="auto" w:fill="E6E6E6"/>
          </w:tcPr>
          <w:p>
            <w:pPr>
              <w:spacing w:after="0"/>
              <w:rPr>
                <w:sz w:val="14"/>
                <w:szCs w:val="14"/>
                <w:color w:val="auto"/>
              </w:rPr>
            </w:pPr>
          </w:p>
        </w:tc>
        <w:tc>
          <w:tcPr>
            <w:tcW w:w="900" w:type="dxa"/>
            <w:vAlign w:val="bottom"/>
            <w:vMerge w:val="restart"/>
            <w:shd w:val="clear" w:color="auto" w:fill="E6E6E6"/>
          </w:tcPr>
          <w:p>
            <w:pPr>
              <w:jc w:val="right"/>
              <w:ind w:right="70"/>
              <w:spacing w:after="0"/>
              <w:rPr>
                <w:sz w:val="20"/>
                <w:szCs w:val="20"/>
                <w:color w:val="auto"/>
              </w:rPr>
            </w:pPr>
            <w:r>
              <w:rPr>
                <w:rFonts w:ascii="Arial" w:cs="Arial" w:eastAsia="Arial" w:hAnsi="Arial"/>
                <w:sz w:val="14"/>
                <w:szCs w:val="14"/>
                <w:color w:val="auto"/>
              </w:rPr>
              <w:t>1,339,433</w:t>
            </w:r>
          </w:p>
        </w:tc>
        <w:tc>
          <w:tcPr>
            <w:tcW w:w="880" w:type="dxa"/>
            <w:vAlign w:val="bottom"/>
            <w:vMerge w:val="restart"/>
            <w:shd w:val="clear" w:color="auto" w:fill="E6E6E6"/>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E6E6E6"/>
          </w:tcPr>
          <w:p>
            <w:pPr>
              <w:jc w:val="right"/>
              <w:ind w:right="50"/>
              <w:spacing w:after="0"/>
              <w:rPr>
                <w:sz w:val="20"/>
                <w:szCs w:val="20"/>
                <w:color w:val="auto"/>
              </w:rPr>
            </w:pPr>
            <w:r>
              <w:rPr>
                <w:rFonts w:ascii="Arial" w:cs="Arial" w:eastAsia="Arial" w:hAnsi="Arial"/>
                <w:sz w:val="14"/>
                <w:szCs w:val="14"/>
                <w:color w:val="auto"/>
              </w:rPr>
              <w:t>3,500,030</w:t>
            </w:r>
          </w:p>
        </w:tc>
        <w:tc>
          <w:tcPr>
            <w:tcW w:w="820" w:type="dxa"/>
            <w:vAlign w:val="bottom"/>
            <w:vMerge w:val="restart"/>
            <w:shd w:val="clear" w:color="auto" w:fill="E6E6E6"/>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E6E6E6"/>
          </w:tcPr>
          <w:p>
            <w:pPr>
              <w:jc w:val="right"/>
              <w:ind w:right="72"/>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E6E6E6"/>
          </w:tcPr>
          <w:p>
            <w:pPr>
              <w:jc w:val="right"/>
              <w:ind w:right="90"/>
              <w:spacing w:after="0"/>
              <w:rPr>
                <w:sz w:val="20"/>
                <w:szCs w:val="20"/>
                <w:color w:val="auto"/>
              </w:rPr>
            </w:pPr>
            <w:r>
              <w:rPr>
                <w:rFonts w:ascii="Arial" w:cs="Arial" w:eastAsia="Arial" w:hAnsi="Arial"/>
                <w:sz w:val="14"/>
                <w:szCs w:val="14"/>
                <w:color w:val="auto"/>
              </w:rPr>
              <w:t>341,247</w:t>
            </w:r>
          </w:p>
        </w:tc>
        <w:tc>
          <w:tcPr>
            <w:tcW w:w="900" w:type="dxa"/>
            <w:vAlign w:val="bottom"/>
            <w:vMerge w:val="restart"/>
            <w:shd w:val="clear" w:color="auto" w:fill="E6E6E6"/>
          </w:tcPr>
          <w:p>
            <w:pPr>
              <w:jc w:val="right"/>
              <w:ind w:right="30"/>
              <w:spacing w:after="0"/>
              <w:rPr>
                <w:sz w:val="20"/>
                <w:szCs w:val="20"/>
                <w:color w:val="auto"/>
              </w:rPr>
            </w:pPr>
            <w:r>
              <w:rPr>
                <w:rFonts w:ascii="Arial" w:cs="Arial" w:eastAsia="Arial" w:hAnsi="Arial"/>
                <w:sz w:val="14"/>
                <w:szCs w:val="14"/>
                <w:color w:val="auto"/>
              </w:rPr>
              <w:t>5,180,710</w:t>
            </w:r>
          </w:p>
        </w:tc>
        <w:tc>
          <w:tcPr>
            <w:tcW w:w="0" w:type="dxa"/>
            <w:vAlign w:val="bottom"/>
          </w:tcPr>
          <w:p>
            <w:pPr>
              <w:spacing w:after="0"/>
              <w:rPr>
                <w:sz w:val="1"/>
                <w:szCs w:val="1"/>
                <w:color w:val="auto"/>
              </w:rPr>
            </w:pPr>
          </w:p>
        </w:tc>
      </w:tr>
      <w:tr>
        <w:trPr>
          <w:trHeight w:val="134"/>
        </w:trPr>
        <w:tc>
          <w:tcPr>
            <w:tcW w:w="100" w:type="dxa"/>
            <w:vAlign w:val="bottom"/>
            <w:shd w:val="clear" w:color="auto" w:fill="E6E6E6"/>
          </w:tcPr>
          <w:p>
            <w:pPr>
              <w:spacing w:after="0"/>
              <w:rPr>
                <w:sz w:val="11"/>
                <w:szCs w:val="11"/>
                <w:color w:val="auto"/>
              </w:rPr>
            </w:pPr>
          </w:p>
        </w:tc>
        <w:tc>
          <w:tcPr>
            <w:tcW w:w="1640" w:type="dxa"/>
            <w:vAlign w:val="bottom"/>
            <w:vMerge w:val="restart"/>
            <w:shd w:val="clear" w:color="auto" w:fill="E6E6E6"/>
          </w:tcPr>
          <w:p>
            <w:pPr>
              <w:ind w:left="60"/>
              <w:spacing w:after="0"/>
              <w:rPr>
                <w:sz w:val="20"/>
                <w:szCs w:val="20"/>
                <w:color w:val="auto"/>
              </w:rPr>
            </w:pPr>
            <w:r>
              <w:rPr>
                <w:rFonts w:ascii="Arial" w:cs="Arial" w:eastAsia="Arial" w:hAnsi="Arial"/>
                <w:sz w:val="14"/>
                <w:szCs w:val="14"/>
                <w:i w:val="1"/>
                <w:iCs w:val="1"/>
                <w:color w:val="auto"/>
              </w:rPr>
              <w:t>Executive Officer</w:t>
            </w:r>
          </w:p>
        </w:tc>
        <w:tc>
          <w:tcPr>
            <w:tcW w:w="120" w:type="dxa"/>
            <w:vAlign w:val="bottom"/>
            <w:shd w:val="clear" w:color="auto" w:fill="E6E6E6"/>
          </w:tcPr>
          <w:p>
            <w:pPr>
              <w:spacing w:after="0"/>
              <w:rPr>
                <w:sz w:val="11"/>
                <w:szCs w:val="11"/>
                <w:color w:val="auto"/>
              </w:rPr>
            </w:pPr>
          </w:p>
        </w:tc>
        <w:tc>
          <w:tcPr>
            <w:tcW w:w="460" w:type="dxa"/>
            <w:vAlign w:val="bottom"/>
            <w:vMerge w:val="continue"/>
            <w:shd w:val="clear" w:color="auto" w:fill="E6E6E6"/>
          </w:tcPr>
          <w:p>
            <w:pPr>
              <w:spacing w:after="0"/>
              <w:rPr>
                <w:sz w:val="11"/>
                <w:szCs w:val="11"/>
                <w:color w:val="auto"/>
              </w:rPr>
            </w:pPr>
          </w:p>
        </w:tc>
        <w:tc>
          <w:tcPr>
            <w:tcW w:w="120" w:type="dxa"/>
            <w:vAlign w:val="bottom"/>
            <w:shd w:val="clear" w:color="auto" w:fill="E6E6E6"/>
          </w:tcPr>
          <w:p>
            <w:pPr>
              <w:spacing w:after="0"/>
              <w:rPr>
                <w:sz w:val="11"/>
                <w:szCs w:val="11"/>
                <w:color w:val="auto"/>
              </w:rPr>
            </w:pPr>
          </w:p>
        </w:tc>
        <w:tc>
          <w:tcPr>
            <w:tcW w:w="900" w:type="dxa"/>
            <w:vAlign w:val="bottom"/>
            <w:vMerge w:val="continue"/>
            <w:shd w:val="clear" w:color="auto" w:fill="E6E6E6"/>
          </w:tcPr>
          <w:p>
            <w:pPr>
              <w:spacing w:after="0"/>
              <w:rPr>
                <w:sz w:val="11"/>
                <w:szCs w:val="11"/>
                <w:color w:val="auto"/>
              </w:rPr>
            </w:pPr>
          </w:p>
        </w:tc>
        <w:tc>
          <w:tcPr>
            <w:tcW w:w="880" w:type="dxa"/>
            <w:vAlign w:val="bottom"/>
            <w:vMerge w:val="continue"/>
            <w:shd w:val="clear" w:color="auto" w:fill="E6E6E6"/>
          </w:tcPr>
          <w:p>
            <w:pPr>
              <w:spacing w:after="0"/>
              <w:rPr>
                <w:sz w:val="11"/>
                <w:szCs w:val="11"/>
                <w:color w:val="auto"/>
              </w:rPr>
            </w:pPr>
          </w:p>
        </w:tc>
        <w:tc>
          <w:tcPr>
            <w:tcW w:w="880" w:type="dxa"/>
            <w:vAlign w:val="bottom"/>
            <w:vMerge w:val="continue"/>
            <w:shd w:val="clear" w:color="auto" w:fill="E6E6E6"/>
          </w:tcPr>
          <w:p>
            <w:pPr>
              <w:spacing w:after="0"/>
              <w:rPr>
                <w:sz w:val="11"/>
                <w:szCs w:val="11"/>
                <w:color w:val="auto"/>
              </w:rPr>
            </w:pPr>
          </w:p>
        </w:tc>
        <w:tc>
          <w:tcPr>
            <w:tcW w:w="820" w:type="dxa"/>
            <w:vAlign w:val="bottom"/>
            <w:vMerge w:val="continue"/>
            <w:shd w:val="clear" w:color="auto" w:fill="E6E6E6"/>
          </w:tcPr>
          <w:p>
            <w:pPr>
              <w:spacing w:after="0"/>
              <w:rPr>
                <w:sz w:val="11"/>
                <w:szCs w:val="11"/>
                <w:color w:val="auto"/>
              </w:rPr>
            </w:pPr>
          </w:p>
        </w:tc>
        <w:tc>
          <w:tcPr>
            <w:tcW w:w="1280" w:type="dxa"/>
            <w:vAlign w:val="bottom"/>
            <w:vMerge w:val="continue"/>
            <w:shd w:val="clear" w:color="auto" w:fill="E6E6E6"/>
          </w:tcPr>
          <w:p>
            <w:pPr>
              <w:spacing w:after="0"/>
              <w:rPr>
                <w:sz w:val="11"/>
                <w:szCs w:val="11"/>
                <w:color w:val="auto"/>
              </w:rPr>
            </w:pPr>
          </w:p>
        </w:tc>
        <w:tc>
          <w:tcPr>
            <w:tcW w:w="1300" w:type="dxa"/>
            <w:vAlign w:val="bottom"/>
            <w:vMerge w:val="continue"/>
            <w:shd w:val="clear" w:color="auto" w:fill="E6E6E6"/>
          </w:tcPr>
          <w:p>
            <w:pPr>
              <w:spacing w:after="0"/>
              <w:rPr>
                <w:sz w:val="11"/>
                <w:szCs w:val="11"/>
                <w:color w:val="auto"/>
              </w:rPr>
            </w:pPr>
          </w:p>
        </w:tc>
        <w:tc>
          <w:tcPr>
            <w:tcW w:w="900" w:type="dxa"/>
            <w:vAlign w:val="bottom"/>
            <w:vMerge w:val="continue"/>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00" w:type="dxa"/>
            <w:vAlign w:val="bottom"/>
            <w:shd w:val="clear" w:color="auto" w:fill="E6E6E6"/>
          </w:tcPr>
          <w:p>
            <w:pPr>
              <w:spacing w:after="0"/>
              <w:rPr>
                <w:sz w:val="4"/>
                <w:szCs w:val="4"/>
                <w:color w:val="auto"/>
              </w:rPr>
            </w:pPr>
          </w:p>
        </w:tc>
        <w:tc>
          <w:tcPr>
            <w:tcW w:w="1640" w:type="dxa"/>
            <w:vAlign w:val="bottom"/>
            <w:vMerge w:val="continue"/>
            <w:shd w:val="clear" w:color="auto" w:fill="E6E6E6"/>
          </w:tcPr>
          <w:p>
            <w:pPr>
              <w:spacing w:after="0"/>
              <w:rPr>
                <w:sz w:val="4"/>
                <w:szCs w:val="4"/>
                <w:color w:val="auto"/>
              </w:rPr>
            </w:pPr>
          </w:p>
        </w:tc>
        <w:tc>
          <w:tcPr>
            <w:tcW w:w="120" w:type="dxa"/>
            <w:vAlign w:val="bottom"/>
            <w:shd w:val="clear" w:color="auto" w:fill="E6E6E6"/>
          </w:tcPr>
          <w:p>
            <w:pPr>
              <w:spacing w:after="0"/>
              <w:rPr>
                <w:sz w:val="4"/>
                <w:szCs w:val="4"/>
                <w:color w:val="auto"/>
              </w:rPr>
            </w:pPr>
          </w:p>
        </w:tc>
        <w:tc>
          <w:tcPr>
            <w:tcW w:w="460" w:type="dxa"/>
            <w:vAlign w:val="bottom"/>
            <w:shd w:val="clear" w:color="auto" w:fill="E6E6E6"/>
          </w:tcPr>
          <w:p>
            <w:pPr>
              <w:spacing w:after="0"/>
              <w:rPr>
                <w:sz w:val="4"/>
                <w:szCs w:val="4"/>
                <w:color w:val="auto"/>
              </w:rPr>
            </w:pPr>
          </w:p>
        </w:tc>
        <w:tc>
          <w:tcPr>
            <w:tcW w:w="120" w:type="dxa"/>
            <w:vAlign w:val="bottom"/>
            <w:shd w:val="clear" w:color="auto" w:fill="E6E6E6"/>
          </w:tcPr>
          <w:p>
            <w:pPr>
              <w:spacing w:after="0"/>
              <w:rPr>
                <w:sz w:val="4"/>
                <w:szCs w:val="4"/>
                <w:color w:val="auto"/>
              </w:rPr>
            </w:pPr>
          </w:p>
        </w:tc>
        <w:tc>
          <w:tcPr>
            <w:tcW w:w="900" w:type="dxa"/>
            <w:vAlign w:val="bottom"/>
            <w:shd w:val="clear" w:color="auto" w:fill="E6E6E6"/>
          </w:tcPr>
          <w:p>
            <w:pPr>
              <w:spacing w:after="0"/>
              <w:rPr>
                <w:sz w:val="4"/>
                <w:szCs w:val="4"/>
                <w:color w:val="auto"/>
              </w:rPr>
            </w:pPr>
          </w:p>
        </w:tc>
        <w:tc>
          <w:tcPr>
            <w:tcW w:w="880" w:type="dxa"/>
            <w:vAlign w:val="bottom"/>
            <w:shd w:val="clear" w:color="auto" w:fill="E6E6E6"/>
          </w:tcPr>
          <w:p>
            <w:pPr>
              <w:spacing w:after="0"/>
              <w:rPr>
                <w:sz w:val="4"/>
                <w:szCs w:val="4"/>
                <w:color w:val="auto"/>
              </w:rPr>
            </w:pPr>
          </w:p>
        </w:tc>
        <w:tc>
          <w:tcPr>
            <w:tcW w:w="880" w:type="dxa"/>
            <w:vAlign w:val="bottom"/>
            <w:shd w:val="clear" w:color="auto" w:fill="E6E6E6"/>
          </w:tcPr>
          <w:p>
            <w:pPr>
              <w:spacing w:after="0"/>
              <w:rPr>
                <w:sz w:val="4"/>
                <w:szCs w:val="4"/>
                <w:color w:val="auto"/>
              </w:rPr>
            </w:pPr>
          </w:p>
        </w:tc>
        <w:tc>
          <w:tcPr>
            <w:tcW w:w="820" w:type="dxa"/>
            <w:vAlign w:val="bottom"/>
            <w:shd w:val="clear" w:color="auto" w:fill="E6E6E6"/>
          </w:tcPr>
          <w:p>
            <w:pPr>
              <w:spacing w:after="0"/>
              <w:rPr>
                <w:sz w:val="4"/>
                <w:szCs w:val="4"/>
                <w:color w:val="auto"/>
              </w:rPr>
            </w:pPr>
          </w:p>
        </w:tc>
        <w:tc>
          <w:tcPr>
            <w:tcW w:w="1280" w:type="dxa"/>
            <w:vAlign w:val="bottom"/>
            <w:shd w:val="clear" w:color="auto" w:fill="E6E6E6"/>
          </w:tcPr>
          <w:p>
            <w:pPr>
              <w:spacing w:after="0"/>
              <w:rPr>
                <w:sz w:val="4"/>
                <w:szCs w:val="4"/>
                <w:color w:val="auto"/>
              </w:rPr>
            </w:pPr>
          </w:p>
        </w:tc>
        <w:tc>
          <w:tcPr>
            <w:tcW w:w="1300" w:type="dxa"/>
            <w:vAlign w:val="bottom"/>
            <w:shd w:val="clear" w:color="auto" w:fill="E6E6E6"/>
          </w:tcPr>
          <w:p>
            <w:pPr>
              <w:spacing w:after="0"/>
              <w:rPr>
                <w:sz w:val="4"/>
                <w:szCs w:val="4"/>
                <w:color w:val="auto"/>
              </w:rPr>
            </w:pPr>
          </w:p>
        </w:tc>
        <w:tc>
          <w:tcPr>
            <w:tcW w:w="900" w:type="dxa"/>
            <w:vAlign w:val="bottom"/>
            <w:shd w:val="clear" w:color="auto" w:fill="E6E6E6"/>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00" w:type="dxa"/>
            <w:vAlign w:val="bottom"/>
            <w:shd w:val="clear" w:color="auto" w:fill="E6E6E6"/>
          </w:tcPr>
          <w:p>
            <w:pPr>
              <w:spacing w:after="0"/>
              <w:rPr>
                <w:sz w:val="22"/>
                <w:szCs w:val="22"/>
                <w:color w:val="auto"/>
              </w:rPr>
            </w:pPr>
          </w:p>
        </w:tc>
        <w:tc>
          <w:tcPr>
            <w:tcW w:w="164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4"/>
                <w:szCs w:val="14"/>
                <w:color w:val="auto"/>
              </w:rPr>
              <w:t>2024</w:t>
            </w:r>
          </w:p>
        </w:tc>
        <w:tc>
          <w:tcPr>
            <w:tcW w:w="120" w:type="dxa"/>
            <w:vAlign w:val="bottom"/>
            <w:shd w:val="clear" w:color="auto" w:fill="E6E6E6"/>
          </w:tcPr>
          <w:p>
            <w:pPr>
              <w:spacing w:after="0"/>
              <w:rPr>
                <w:sz w:val="22"/>
                <w:szCs w:val="22"/>
                <w:color w:val="auto"/>
              </w:rPr>
            </w:pPr>
          </w:p>
        </w:tc>
        <w:tc>
          <w:tcPr>
            <w:tcW w:w="900" w:type="dxa"/>
            <w:vAlign w:val="bottom"/>
            <w:shd w:val="clear" w:color="auto" w:fill="E6E6E6"/>
          </w:tcPr>
          <w:p>
            <w:pPr>
              <w:jc w:val="right"/>
              <w:ind w:right="70"/>
              <w:spacing w:after="0"/>
              <w:rPr>
                <w:sz w:val="20"/>
                <w:szCs w:val="20"/>
                <w:color w:val="auto"/>
              </w:rPr>
            </w:pPr>
            <w:r>
              <w:rPr>
                <w:rFonts w:ascii="Arial" w:cs="Arial" w:eastAsia="Arial" w:hAnsi="Arial"/>
                <w:sz w:val="14"/>
                <w:szCs w:val="14"/>
                <w:color w:val="auto"/>
              </w:rPr>
              <w:t>1,251,001</w:t>
            </w:r>
          </w:p>
        </w:tc>
        <w:tc>
          <w:tcPr>
            <w:tcW w:w="880" w:type="dxa"/>
            <w:vAlign w:val="bottom"/>
            <w:shd w:val="clear" w:color="auto" w:fill="E6E6E6"/>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shd w:val="clear" w:color="auto" w:fill="E6E6E6"/>
          </w:tcPr>
          <w:p>
            <w:pPr>
              <w:jc w:val="right"/>
              <w:ind w:right="50"/>
              <w:spacing w:after="0"/>
              <w:rPr>
                <w:sz w:val="20"/>
                <w:szCs w:val="20"/>
                <w:color w:val="auto"/>
              </w:rPr>
            </w:pPr>
            <w:r>
              <w:rPr>
                <w:rFonts w:ascii="Arial" w:cs="Arial" w:eastAsia="Arial" w:hAnsi="Arial"/>
                <w:sz w:val="14"/>
                <w:szCs w:val="14"/>
                <w:color w:val="auto"/>
              </w:rPr>
              <w:t>3,500,004</w:t>
            </w:r>
          </w:p>
        </w:tc>
        <w:tc>
          <w:tcPr>
            <w:tcW w:w="820" w:type="dxa"/>
            <w:vAlign w:val="bottom"/>
            <w:shd w:val="clear" w:color="auto" w:fill="E6E6E6"/>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shd w:val="clear" w:color="auto" w:fill="E6E6E6"/>
          </w:tcPr>
          <w:p>
            <w:pPr>
              <w:jc w:val="right"/>
              <w:ind w:right="72"/>
              <w:spacing w:after="0"/>
              <w:rPr>
                <w:sz w:val="20"/>
                <w:szCs w:val="20"/>
                <w:color w:val="auto"/>
              </w:rPr>
            </w:pPr>
            <w:r>
              <w:rPr>
                <w:rFonts w:ascii="Arial" w:cs="Arial" w:eastAsia="Arial" w:hAnsi="Arial"/>
                <w:sz w:val="14"/>
                <w:szCs w:val="14"/>
                <w:color w:val="auto"/>
              </w:rPr>
              <w:t>—</w:t>
            </w:r>
          </w:p>
        </w:tc>
        <w:tc>
          <w:tcPr>
            <w:tcW w:w="1300" w:type="dxa"/>
            <w:vAlign w:val="bottom"/>
            <w:shd w:val="clear" w:color="auto" w:fill="E6E6E6"/>
          </w:tcPr>
          <w:p>
            <w:pPr>
              <w:jc w:val="right"/>
              <w:ind w:right="90"/>
              <w:spacing w:after="0"/>
              <w:rPr>
                <w:sz w:val="20"/>
                <w:szCs w:val="20"/>
                <w:color w:val="auto"/>
              </w:rPr>
            </w:pPr>
            <w:r>
              <w:rPr>
                <w:rFonts w:ascii="Arial" w:cs="Arial" w:eastAsia="Arial" w:hAnsi="Arial"/>
                <w:sz w:val="14"/>
                <w:szCs w:val="14"/>
                <w:color w:val="auto"/>
              </w:rPr>
              <w:t>340,425</w:t>
            </w:r>
          </w:p>
        </w:tc>
        <w:tc>
          <w:tcPr>
            <w:tcW w:w="900" w:type="dxa"/>
            <w:vAlign w:val="bottom"/>
            <w:shd w:val="clear" w:color="auto" w:fill="E6E6E6"/>
          </w:tcPr>
          <w:p>
            <w:pPr>
              <w:jc w:val="right"/>
              <w:ind w:right="30"/>
              <w:spacing w:after="0"/>
              <w:rPr>
                <w:sz w:val="20"/>
                <w:szCs w:val="20"/>
                <w:color w:val="auto"/>
              </w:rPr>
            </w:pPr>
            <w:r>
              <w:rPr>
                <w:rFonts w:ascii="Arial" w:cs="Arial" w:eastAsia="Arial" w:hAnsi="Arial"/>
                <w:sz w:val="14"/>
                <w:szCs w:val="14"/>
                <w:color w:val="auto"/>
              </w:rPr>
              <w:t>5,091,430</w:t>
            </w:r>
          </w:p>
        </w:tc>
        <w:tc>
          <w:tcPr>
            <w:tcW w:w="0" w:type="dxa"/>
            <w:vAlign w:val="bottom"/>
          </w:tcPr>
          <w:p>
            <w:pPr>
              <w:spacing w:after="0"/>
              <w:rPr>
                <w:sz w:val="1"/>
                <w:szCs w:val="1"/>
                <w:color w:val="auto"/>
              </w:rPr>
            </w:pPr>
          </w:p>
        </w:tc>
      </w:tr>
      <w:tr>
        <w:trPr>
          <w:trHeight w:val="62"/>
        </w:trPr>
        <w:tc>
          <w:tcPr>
            <w:tcW w:w="100" w:type="dxa"/>
            <w:vAlign w:val="bottom"/>
            <w:shd w:val="clear" w:color="auto" w:fill="E6E6E6"/>
          </w:tcPr>
          <w:p>
            <w:pPr>
              <w:spacing w:after="0"/>
              <w:rPr>
                <w:sz w:val="5"/>
                <w:szCs w:val="5"/>
                <w:color w:val="auto"/>
              </w:rPr>
            </w:pPr>
          </w:p>
        </w:tc>
        <w:tc>
          <w:tcPr>
            <w:tcW w:w="164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46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900" w:type="dxa"/>
            <w:vAlign w:val="bottom"/>
            <w:shd w:val="clear" w:color="auto" w:fill="E6E6E6"/>
          </w:tcPr>
          <w:p>
            <w:pPr>
              <w:spacing w:after="0"/>
              <w:rPr>
                <w:sz w:val="5"/>
                <w:szCs w:val="5"/>
                <w:color w:val="auto"/>
              </w:rPr>
            </w:pPr>
          </w:p>
        </w:tc>
        <w:tc>
          <w:tcPr>
            <w:tcW w:w="880" w:type="dxa"/>
            <w:vAlign w:val="bottom"/>
            <w:shd w:val="clear" w:color="auto" w:fill="E6E6E6"/>
          </w:tcPr>
          <w:p>
            <w:pPr>
              <w:spacing w:after="0"/>
              <w:rPr>
                <w:sz w:val="5"/>
                <w:szCs w:val="5"/>
                <w:color w:val="auto"/>
              </w:rPr>
            </w:pPr>
          </w:p>
        </w:tc>
        <w:tc>
          <w:tcPr>
            <w:tcW w:w="880" w:type="dxa"/>
            <w:vAlign w:val="bottom"/>
            <w:shd w:val="clear" w:color="auto" w:fill="E6E6E6"/>
          </w:tcPr>
          <w:p>
            <w:pPr>
              <w:spacing w:after="0"/>
              <w:rPr>
                <w:sz w:val="5"/>
                <w:szCs w:val="5"/>
                <w:color w:val="auto"/>
              </w:rPr>
            </w:pPr>
          </w:p>
        </w:tc>
        <w:tc>
          <w:tcPr>
            <w:tcW w:w="820" w:type="dxa"/>
            <w:vAlign w:val="bottom"/>
            <w:shd w:val="clear" w:color="auto" w:fill="E6E6E6"/>
          </w:tcPr>
          <w:p>
            <w:pPr>
              <w:spacing w:after="0"/>
              <w:rPr>
                <w:sz w:val="5"/>
                <w:szCs w:val="5"/>
                <w:color w:val="auto"/>
              </w:rPr>
            </w:pPr>
          </w:p>
        </w:tc>
        <w:tc>
          <w:tcPr>
            <w:tcW w:w="1280" w:type="dxa"/>
            <w:vAlign w:val="bottom"/>
            <w:shd w:val="clear" w:color="auto" w:fill="E6E6E6"/>
          </w:tcPr>
          <w:p>
            <w:pPr>
              <w:spacing w:after="0"/>
              <w:rPr>
                <w:sz w:val="5"/>
                <w:szCs w:val="5"/>
                <w:color w:val="auto"/>
              </w:rPr>
            </w:pPr>
          </w:p>
        </w:tc>
        <w:tc>
          <w:tcPr>
            <w:tcW w:w="1300" w:type="dxa"/>
            <w:vAlign w:val="bottom"/>
            <w:shd w:val="clear" w:color="auto" w:fill="E6E6E6"/>
          </w:tcPr>
          <w:p>
            <w:pPr>
              <w:spacing w:after="0"/>
              <w:rPr>
                <w:sz w:val="5"/>
                <w:szCs w:val="5"/>
                <w:color w:val="auto"/>
              </w:rPr>
            </w:pPr>
          </w:p>
        </w:tc>
        <w:tc>
          <w:tcPr>
            <w:tcW w:w="90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0" w:type="dxa"/>
            <w:vAlign w:val="bottom"/>
          </w:tcPr>
          <w:p>
            <w:pPr>
              <w:spacing w:after="0"/>
              <w:rPr>
                <w:sz w:val="24"/>
                <w:szCs w:val="24"/>
                <w:color w:val="auto"/>
              </w:rPr>
            </w:pPr>
          </w:p>
        </w:tc>
        <w:tc>
          <w:tcPr>
            <w:tcW w:w="1640" w:type="dxa"/>
            <w:vAlign w:val="bottom"/>
          </w:tcPr>
          <w:p>
            <w:pPr>
              <w:ind w:left="60"/>
              <w:spacing w:after="0"/>
              <w:rPr>
                <w:sz w:val="20"/>
                <w:szCs w:val="20"/>
                <w:color w:val="auto"/>
              </w:rPr>
            </w:pPr>
            <w:r>
              <w:rPr>
                <w:rFonts w:ascii="Arial" w:cs="Arial" w:eastAsia="Arial" w:hAnsi="Arial"/>
                <w:sz w:val="14"/>
                <w:szCs w:val="14"/>
                <w:b w:val="1"/>
                <w:bCs w:val="1"/>
                <w:color w:val="auto"/>
              </w:rPr>
              <w:t>Sallie A. DeMarsilis,</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2026</w:t>
            </w: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672,751</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454,106</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504,559</w:t>
            </w: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jc w:val="right"/>
              <w:ind w:right="90"/>
              <w:spacing w:after="0"/>
              <w:rPr>
                <w:sz w:val="20"/>
                <w:szCs w:val="20"/>
                <w:color w:val="auto"/>
              </w:rPr>
            </w:pPr>
            <w:r>
              <w:rPr>
                <w:rFonts w:ascii="Arial" w:cs="Arial" w:eastAsia="Arial" w:hAnsi="Arial"/>
                <w:sz w:val="14"/>
                <w:szCs w:val="14"/>
                <w:color w:val="auto"/>
              </w:rPr>
              <w:t>104,475</w:t>
            </w:r>
            <w:r>
              <w:rPr>
                <w:rFonts w:ascii="Arial" w:cs="Arial" w:eastAsia="Arial" w:hAnsi="Arial"/>
                <w:sz w:val="23"/>
                <w:szCs w:val="23"/>
                <w:color w:val="auto"/>
                <w:vertAlign w:val="superscript"/>
              </w:rPr>
              <w:t>(5)</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1,735,892</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640" w:type="dxa"/>
            <w:vAlign w:val="bottom"/>
          </w:tcPr>
          <w:p>
            <w:pPr>
              <w:ind w:left="60"/>
              <w:spacing w:after="0"/>
              <w:rPr>
                <w:sz w:val="20"/>
                <w:szCs w:val="20"/>
                <w:color w:val="auto"/>
              </w:rPr>
            </w:pPr>
            <w:r>
              <w:rPr>
                <w:rFonts w:ascii="Arial" w:cs="Arial" w:eastAsia="Arial" w:hAnsi="Arial"/>
                <w:sz w:val="14"/>
                <w:szCs w:val="14"/>
                <w:i w:val="1"/>
                <w:iCs w:val="1"/>
                <w:color w:val="auto"/>
              </w:rPr>
              <w:t>EVP, Chief</w:t>
            </w:r>
          </w:p>
        </w:tc>
        <w:tc>
          <w:tcPr>
            <w:tcW w:w="7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2025</w:t>
            </w:r>
          </w:p>
        </w:tc>
        <w:tc>
          <w:tcPr>
            <w:tcW w:w="900" w:type="dxa"/>
            <w:vAlign w:val="bottom"/>
            <w:vMerge w:val="restart"/>
          </w:tcPr>
          <w:p>
            <w:pPr>
              <w:jc w:val="right"/>
              <w:ind w:right="70"/>
              <w:spacing w:after="0"/>
              <w:rPr>
                <w:sz w:val="20"/>
                <w:szCs w:val="20"/>
                <w:color w:val="auto"/>
              </w:rPr>
            </w:pPr>
            <w:r>
              <w:rPr>
                <w:rFonts w:ascii="Arial" w:cs="Arial" w:eastAsia="Arial" w:hAnsi="Arial"/>
                <w:sz w:val="14"/>
                <w:szCs w:val="14"/>
                <w:color w:val="auto"/>
              </w:rPr>
              <w:t>693,812</w:t>
            </w: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504,596</w:t>
            </w:r>
          </w:p>
        </w:tc>
        <w:tc>
          <w:tcPr>
            <w:tcW w:w="820" w:type="dxa"/>
            <w:vAlign w:val="bottom"/>
            <w:vMerge w:val="restart"/>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90"/>
              <w:spacing w:after="0"/>
              <w:rPr>
                <w:sz w:val="20"/>
                <w:szCs w:val="20"/>
                <w:color w:val="auto"/>
              </w:rPr>
            </w:pPr>
            <w:r>
              <w:rPr>
                <w:rFonts w:ascii="Arial" w:cs="Arial" w:eastAsia="Arial" w:hAnsi="Arial"/>
                <w:sz w:val="14"/>
                <w:szCs w:val="14"/>
                <w:color w:val="auto"/>
              </w:rPr>
              <w:t>104,998</w:t>
            </w:r>
          </w:p>
        </w:tc>
        <w:tc>
          <w:tcPr>
            <w:tcW w:w="900" w:type="dxa"/>
            <w:vAlign w:val="bottom"/>
            <w:vMerge w:val="restart"/>
          </w:tcPr>
          <w:p>
            <w:pPr>
              <w:jc w:val="right"/>
              <w:ind w:right="30"/>
              <w:spacing w:after="0"/>
              <w:rPr>
                <w:sz w:val="20"/>
                <w:szCs w:val="20"/>
                <w:color w:val="auto"/>
              </w:rPr>
            </w:pPr>
            <w:r>
              <w:rPr>
                <w:rFonts w:ascii="Arial" w:cs="Arial" w:eastAsia="Arial" w:hAnsi="Arial"/>
                <w:sz w:val="14"/>
                <w:szCs w:val="14"/>
                <w:color w:val="auto"/>
              </w:rPr>
              <w:t>1,303,406</w:t>
            </w:r>
          </w:p>
        </w:tc>
        <w:tc>
          <w:tcPr>
            <w:tcW w:w="0" w:type="dxa"/>
            <w:vAlign w:val="bottom"/>
          </w:tcPr>
          <w:p>
            <w:pPr>
              <w:spacing w:after="0"/>
              <w:rPr>
                <w:sz w:val="1"/>
                <w:szCs w:val="1"/>
                <w:color w:val="auto"/>
              </w:rPr>
            </w:pPr>
          </w:p>
        </w:tc>
      </w:tr>
      <w:tr>
        <w:trPr>
          <w:trHeight w:val="134"/>
        </w:trPr>
        <w:tc>
          <w:tcPr>
            <w:tcW w:w="100" w:type="dxa"/>
            <w:vAlign w:val="bottom"/>
          </w:tcPr>
          <w:p>
            <w:pPr>
              <w:spacing w:after="0"/>
              <w:rPr>
                <w:sz w:val="11"/>
                <w:szCs w:val="11"/>
                <w:color w:val="auto"/>
              </w:rPr>
            </w:pPr>
          </w:p>
        </w:tc>
        <w:tc>
          <w:tcPr>
            <w:tcW w:w="1640" w:type="dxa"/>
            <w:vAlign w:val="bottom"/>
            <w:vMerge w:val="restart"/>
          </w:tcPr>
          <w:p>
            <w:pPr>
              <w:ind w:left="60"/>
              <w:spacing w:after="0"/>
              <w:rPr>
                <w:sz w:val="20"/>
                <w:szCs w:val="20"/>
                <w:color w:val="auto"/>
              </w:rPr>
            </w:pPr>
            <w:r>
              <w:rPr>
                <w:rFonts w:ascii="Arial" w:cs="Arial" w:eastAsia="Arial" w:hAnsi="Arial"/>
                <w:sz w:val="14"/>
                <w:szCs w:val="14"/>
                <w:i w:val="1"/>
                <w:iCs w:val="1"/>
                <w:color w:val="auto"/>
              </w:rPr>
              <w:t>Financial Officer</w:t>
            </w:r>
          </w:p>
        </w:tc>
        <w:tc>
          <w:tcPr>
            <w:tcW w:w="700" w:type="dxa"/>
            <w:vAlign w:val="bottom"/>
            <w:gridSpan w:val="3"/>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8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3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2024</w:t>
            </w: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650,000</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487,514</w:t>
            </w:r>
          </w:p>
        </w:tc>
        <w:tc>
          <w:tcPr>
            <w:tcW w:w="82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90"/>
              <w:spacing w:after="0"/>
              <w:rPr>
                <w:sz w:val="20"/>
                <w:szCs w:val="20"/>
                <w:color w:val="auto"/>
              </w:rPr>
            </w:pPr>
            <w:r>
              <w:rPr>
                <w:rFonts w:ascii="Arial" w:cs="Arial" w:eastAsia="Arial" w:hAnsi="Arial"/>
                <w:sz w:val="14"/>
                <w:szCs w:val="14"/>
                <w:color w:val="auto"/>
              </w:rPr>
              <w:t>102,200</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1,239,714</w:t>
            </w:r>
          </w:p>
        </w:tc>
        <w:tc>
          <w:tcPr>
            <w:tcW w:w="0" w:type="dxa"/>
            <w:vAlign w:val="bottom"/>
          </w:tcPr>
          <w:p>
            <w:pPr>
              <w:spacing w:after="0"/>
              <w:rPr>
                <w:sz w:val="1"/>
                <w:szCs w:val="1"/>
                <w:color w:val="auto"/>
              </w:rPr>
            </w:pPr>
          </w:p>
        </w:tc>
      </w:tr>
      <w:tr>
        <w:trPr>
          <w:trHeight w:val="62"/>
        </w:trPr>
        <w:tc>
          <w:tcPr>
            <w:tcW w:w="1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700" w:type="dxa"/>
            <w:vAlign w:val="bottom"/>
            <w:gridSpan w:val="3"/>
          </w:tcPr>
          <w:p>
            <w:pPr>
              <w:spacing w:after="0"/>
              <w:rPr>
                <w:sz w:val="5"/>
                <w:szCs w:val="5"/>
                <w:color w:val="auto"/>
              </w:rPr>
            </w:pPr>
          </w:p>
        </w:tc>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0" w:type="dxa"/>
            <w:vAlign w:val="bottom"/>
            <w:shd w:val="clear" w:color="auto" w:fill="E6E6E6"/>
          </w:tcPr>
          <w:p>
            <w:pPr>
              <w:spacing w:after="0"/>
              <w:rPr>
                <w:sz w:val="24"/>
                <w:szCs w:val="24"/>
                <w:color w:val="auto"/>
              </w:rPr>
            </w:pPr>
          </w:p>
        </w:tc>
        <w:tc>
          <w:tcPr>
            <w:tcW w:w="1640" w:type="dxa"/>
            <w:vAlign w:val="bottom"/>
            <w:shd w:val="clear" w:color="auto" w:fill="E6E6E6"/>
          </w:tcPr>
          <w:p>
            <w:pPr>
              <w:ind w:left="60"/>
              <w:spacing w:after="0"/>
              <w:rPr>
                <w:sz w:val="20"/>
                <w:szCs w:val="20"/>
                <w:color w:val="auto"/>
              </w:rPr>
            </w:pPr>
            <w:r>
              <w:rPr>
                <w:rFonts w:ascii="Arial" w:cs="Arial" w:eastAsia="Arial" w:hAnsi="Arial"/>
                <w:sz w:val="14"/>
                <w:szCs w:val="14"/>
                <w:b w:val="1"/>
                <w:bCs w:val="1"/>
                <w:color w:val="auto"/>
              </w:rPr>
              <w:t>Behzad Soltani,</w:t>
            </w:r>
          </w:p>
        </w:tc>
        <w:tc>
          <w:tcPr>
            <w:tcW w:w="120" w:type="dxa"/>
            <w:vAlign w:val="bottom"/>
            <w:shd w:val="clear" w:color="auto" w:fill="E6E6E6"/>
          </w:tcPr>
          <w:p>
            <w:pPr>
              <w:spacing w:after="0"/>
              <w:rPr>
                <w:sz w:val="24"/>
                <w:szCs w:val="24"/>
                <w:color w:val="auto"/>
              </w:rPr>
            </w:pPr>
          </w:p>
        </w:tc>
        <w:tc>
          <w:tcPr>
            <w:tcW w:w="580" w:type="dxa"/>
            <w:vAlign w:val="bottom"/>
            <w:gridSpan w:val="2"/>
            <w:shd w:val="clear" w:color="auto" w:fill="E6E6E6"/>
          </w:tcPr>
          <w:p>
            <w:pPr>
              <w:jc w:val="right"/>
              <w:ind w:right="120"/>
              <w:spacing w:after="0"/>
              <w:rPr>
                <w:sz w:val="20"/>
                <w:szCs w:val="20"/>
                <w:color w:val="auto"/>
              </w:rPr>
            </w:pPr>
            <w:r>
              <w:rPr>
                <w:rFonts w:ascii="Arial" w:cs="Arial" w:eastAsia="Arial" w:hAnsi="Arial"/>
                <w:sz w:val="14"/>
                <w:szCs w:val="14"/>
                <w:color w:val="auto"/>
              </w:rPr>
              <w:t>2026</w:t>
            </w:r>
          </w:p>
        </w:tc>
        <w:tc>
          <w:tcPr>
            <w:tcW w:w="900" w:type="dxa"/>
            <w:vAlign w:val="bottom"/>
            <w:shd w:val="clear" w:color="auto" w:fill="E6E6E6"/>
          </w:tcPr>
          <w:p>
            <w:pPr>
              <w:jc w:val="right"/>
              <w:ind w:right="70"/>
              <w:spacing w:after="0"/>
              <w:rPr>
                <w:sz w:val="20"/>
                <w:szCs w:val="20"/>
                <w:color w:val="auto"/>
              </w:rPr>
            </w:pPr>
            <w:r>
              <w:rPr>
                <w:rFonts w:ascii="Arial" w:cs="Arial" w:eastAsia="Arial" w:hAnsi="Arial"/>
                <w:sz w:val="14"/>
                <w:szCs w:val="14"/>
                <w:color w:val="auto"/>
              </w:rPr>
              <w:t>621,001</w:t>
            </w:r>
          </w:p>
        </w:tc>
        <w:tc>
          <w:tcPr>
            <w:tcW w:w="880" w:type="dxa"/>
            <w:vAlign w:val="bottom"/>
            <w:shd w:val="clear" w:color="auto" w:fill="E6E6E6"/>
          </w:tcPr>
          <w:p>
            <w:pPr>
              <w:jc w:val="right"/>
              <w:ind w:right="50"/>
              <w:spacing w:after="0"/>
              <w:rPr>
                <w:sz w:val="20"/>
                <w:szCs w:val="20"/>
                <w:color w:val="auto"/>
              </w:rPr>
            </w:pPr>
            <w:r>
              <w:rPr>
                <w:rFonts w:ascii="Arial" w:cs="Arial" w:eastAsia="Arial" w:hAnsi="Arial"/>
                <w:sz w:val="14"/>
                <w:szCs w:val="14"/>
                <w:color w:val="auto"/>
              </w:rPr>
              <w:t>419,175</w:t>
            </w:r>
          </w:p>
        </w:tc>
        <w:tc>
          <w:tcPr>
            <w:tcW w:w="880" w:type="dxa"/>
            <w:vAlign w:val="bottom"/>
            <w:shd w:val="clear" w:color="auto" w:fill="E6E6E6"/>
          </w:tcPr>
          <w:p>
            <w:pPr>
              <w:jc w:val="right"/>
              <w:ind w:right="50"/>
              <w:spacing w:after="0"/>
              <w:rPr>
                <w:sz w:val="20"/>
                <w:szCs w:val="20"/>
                <w:color w:val="auto"/>
              </w:rPr>
            </w:pPr>
            <w:r>
              <w:rPr>
                <w:rFonts w:ascii="Arial" w:cs="Arial" w:eastAsia="Arial" w:hAnsi="Arial"/>
                <w:sz w:val="14"/>
                <w:szCs w:val="14"/>
                <w:color w:val="auto"/>
              </w:rPr>
              <w:t>465,752</w:t>
            </w:r>
          </w:p>
        </w:tc>
        <w:tc>
          <w:tcPr>
            <w:tcW w:w="82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1300" w:type="dxa"/>
            <w:vAlign w:val="bottom"/>
            <w:shd w:val="clear" w:color="auto" w:fill="E6E6E6"/>
          </w:tcPr>
          <w:p>
            <w:pPr>
              <w:jc w:val="right"/>
              <w:ind w:right="90"/>
              <w:spacing w:after="0"/>
              <w:rPr>
                <w:sz w:val="20"/>
                <w:szCs w:val="20"/>
                <w:color w:val="auto"/>
              </w:rPr>
            </w:pPr>
            <w:r>
              <w:rPr>
                <w:rFonts w:ascii="Arial" w:cs="Arial" w:eastAsia="Arial" w:hAnsi="Arial"/>
                <w:sz w:val="14"/>
                <w:szCs w:val="14"/>
                <w:color w:val="auto"/>
              </w:rPr>
              <w:t>49,260</w:t>
            </w:r>
            <w:r>
              <w:rPr>
                <w:rFonts w:ascii="Arial" w:cs="Arial" w:eastAsia="Arial" w:hAnsi="Arial"/>
                <w:sz w:val="23"/>
                <w:szCs w:val="23"/>
                <w:color w:val="auto"/>
                <w:vertAlign w:val="superscript"/>
              </w:rPr>
              <w:t>(6)</w:t>
            </w:r>
          </w:p>
        </w:tc>
        <w:tc>
          <w:tcPr>
            <w:tcW w:w="900" w:type="dxa"/>
            <w:vAlign w:val="bottom"/>
            <w:shd w:val="clear" w:color="auto" w:fill="E6E6E6"/>
          </w:tcPr>
          <w:p>
            <w:pPr>
              <w:jc w:val="right"/>
              <w:ind w:right="30"/>
              <w:spacing w:after="0"/>
              <w:rPr>
                <w:sz w:val="20"/>
                <w:szCs w:val="20"/>
                <w:color w:val="auto"/>
              </w:rPr>
            </w:pPr>
            <w:r>
              <w:rPr>
                <w:rFonts w:ascii="Arial" w:cs="Arial" w:eastAsia="Arial" w:hAnsi="Arial"/>
                <w:sz w:val="14"/>
                <w:szCs w:val="14"/>
                <w:color w:val="auto"/>
              </w:rPr>
              <w:t>1,555,188</w:t>
            </w:r>
          </w:p>
        </w:tc>
        <w:tc>
          <w:tcPr>
            <w:tcW w:w="0" w:type="dxa"/>
            <w:vAlign w:val="bottom"/>
          </w:tcPr>
          <w:p>
            <w:pPr>
              <w:spacing w:after="0"/>
              <w:rPr>
                <w:sz w:val="1"/>
                <w:szCs w:val="1"/>
                <w:color w:val="auto"/>
              </w:rPr>
            </w:pPr>
          </w:p>
        </w:tc>
      </w:tr>
      <w:tr>
        <w:trPr>
          <w:trHeight w:val="162"/>
        </w:trPr>
        <w:tc>
          <w:tcPr>
            <w:tcW w:w="100" w:type="dxa"/>
            <w:vAlign w:val="bottom"/>
            <w:shd w:val="clear" w:color="auto" w:fill="E6E6E6"/>
          </w:tcPr>
          <w:p>
            <w:pPr>
              <w:spacing w:after="0"/>
              <w:rPr>
                <w:sz w:val="14"/>
                <w:szCs w:val="14"/>
                <w:color w:val="auto"/>
              </w:rPr>
            </w:pPr>
          </w:p>
        </w:tc>
        <w:tc>
          <w:tcPr>
            <w:tcW w:w="1640" w:type="dxa"/>
            <w:vAlign w:val="bottom"/>
            <w:shd w:val="clear" w:color="auto" w:fill="E6E6E6"/>
          </w:tcPr>
          <w:p>
            <w:pPr>
              <w:ind w:left="60"/>
              <w:spacing w:after="0"/>
              <w:rPr>
                <w:sz w:val="20"/>
                <w:szCs w:val="20"/>
                <w:color w:val="auto"/>
              </w:rPr>
            </w:pPr>
            <w:r>
              <w:rPr>
                <w:rFonts w:ascii="Arial" w:cs="Arial" w:eastAsia="Arial" w:hAnsi="Arial"/>
                <w:sz w:val="14"/>
                <w:szCs w:val="14"/>
                <w:i w:val="1"/>
                <w:iCs w:val="1"/>
                <w:color w:val="auto"/>
              </w:rPr>
              <w:t>EVP, Chief</w:t>
            </w:r>
          </w:p>
        </w:tc>
        <w:tc>
          <w:tcPr>
            <w:tcW w:w="120" w:type="dxa"/>
            <w:vAlign w:val="bottom"/>
            <w:shd w:val="clear" w:color="auto" w:fill="E6E6E6"/>
          </w:tcPr>
          <w:p>
            <w:pPr>
              <w:spacing w:after="0"/>
              <w:rPr>
                <w:sz w:val="14"/>
                <w:szCs w:val="14"/>
                <w:color w:val="auto"/>
              </w:rPr>
            </w:pPr>
          </w:p>
        </w:tc>
        <w:tc>
          <w:tcPr>
            <w:tcW w:w="460" w:type="dxa"/>
            <w:vAlign w:val="bottom"/>
            <w:vMerge w:val="restart"/>
            <w:shd w:val="clear" w:color="auto" w:fill="E6E6E6"/>
          </w:tcPr>
          <w:p>
            <w:pPr>
              <w:jc w:val="right"/>
              <w:spacing w:after="0"/>
              <w:rPr>
                <w:sz w:val="20"/>
                <w:szCs w:val="20"/>
                <w:color w:val="auto"/>
              </w:rPr>
            </w:pPr>
            <w:r>
              <w:rPr>
                <w:rFonts w:ascii="Arial" w:cs="Arial" w:eastAsia="Arial" w:hAnsi="Arial"/>
                <w:sz w:val="14"/>
                <w:szCs w:val="14"/>
                <w:color w:val="auto"/>
              </w:rPr>
              <w:t>2025</w:t>
            </w:r>
          </w:p>
        </w:tc>
        <w:tc>
          <w:tcPr>
            <w:tcW w:w="120" w:type="dxa"/>
            <w:vAlign w:val="bottom"/>
            <w:shd w:val="clear" w:color="auto" w:fill="E6E6E6"/>
          </w:tcPr>
          <w:p>
            <w:pPr>
              <w:spacing w:after="0"/>
              <w:rPr>
                <w:sz w:val="14"/>
                <w:szCs w:val="14"/>
                <w:color w:val="auto"/>
              </w:rPr>
            </w:pPr>
          </w:p>
        </w:tc>
        <w:tc>
          <w:tcPr>
            <w:tcW w:w="900" w:type="dxa"/>
            <w:vAlign w:val="bottom"/>
            <w:vMerge w:val="restart"/>
            <w:shd w:val="clear" w:color="auto" w:fill="E6E6E6"/>
          </w:tcPr>
          <w:p>
            <w:pPr>
              <w:jc w:val="right"/>
              <w:ind w:right="70"/>
              <w:spacing w:after="0"/>
              <w:rPr>
                <w:sz w:val="20"/>
                <w:szCs w:val="20"/>
                <w:color w:val="auto"/>
              </w:rPr>
            </w:pPr>
            <w:r>
              <w:rPr>
                <w:rFonts w:ascii="Arial" w:cs="Arial" w:eastAsia="Arial" w:hAnsi="Arial"/>
                <w:sz w:val="14"/>
                <w:szCs w:val="14"/>
                <w:color w:val="auto"/>
              </w:rPr>
              <w:t>640,441</w:t>
            </w:r>
          </w:p>
        </w:tc>
        <w:tc>
          <w:tcPr>
            <w:tcW w:w="880" w:type="dxa"/>
            <w:vAlign w:val="bottom"/>
            <w:vMerge w:val="restart"/>
            <w:shd w:val="clear" w:color="auto" w:fill="E6E6E6"/>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E6E6E6"/>
          </w:tcPr>
          <w:p>
            <w:pPr>
              <w:jc w:val="right"/>
              <w:ind w:right="50"/>
              <w:spacing w:after="0"/>
              <w:rPr>
                <w:sz w:val="20"/>
                <w:szCs w:val="20"/>
                <w:color w:val="auto"/>
              </w:rPr>
            </w:pPr>
            <w:r>
              <w:rPr>
                <w:rFonts w:ascii="Arial" w:cs="Arial" w:eastAsia="Arial" w:hAnsi="Arial"/>
                <w:sz w:val="14"/>
                <w:szCs w:val="14"/>
                <w:color w:val="auto"/>
              </w:rPr>
              <w:t>465,759</w:t>
            </w:r>
          </w:p>
        </w:tc>
        <w:tc>
          <w:tcPr>
            <w:tcW w:w="820" w:type="dxa"/>
            <w:vAlign w:val="bottom"/>
            <w:vMerge w:val="restart"/>
            <w:shd w:val="clear" w:color="auto" w:fill="E6E6E6"/>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E6E6E6"/>
          </w:tcPr>
          <w:p>
            <w:pPr>
              <w:jc w:val="right"/>
              <w:ind w:right="72"/>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E6E6E6"/>
          </w:tcPr>
          <w:p>
            <w:pPr>
              <w:jc w:val="right"/>
              <w:ind w:right="90"/>
              <w:spacing w:after="0"/>
              <w:rPr>
                <w:sz w:val="20"/>
                <w:szCs w:val="20"/>
                <w:color w:val="auto"/>
              </w:rPr>
            </w:pPr>
            <w:r>
              <w:rPr>
                <w:rFonts w:ascii="Arial" w:cs="Arial" w:eastAsia="Arial" w:hAnsi="Arial"/>
                <w:sz w:val="14"/>
                <w:szCs w:val="14"/>
                <w:color w:val="auto"/>
              </w:rPr>
              <w:t>49,126</w:t>
            </w:r>
          </w:p>
        </w:tc>
        <w:tc>
          <w:tcPr>
            <w:tcW w:w="900" w:type="dxa"/>
            <w:vAlign w:val="bottom"/>
            <w:vMerge w:val="restart"/>
            <w:shd w:val="clear" w:color="auto" w:fill="E6E6E6"/>
          </w:tcPr>
          <w:p>
            <w:pPr>
              <w:jc w:val="right"/>
              <w:ind w:right="30"/>
              <w:spacing w:after="0"/>
              <w:rPr>
                <w:sz w:val="20"/>
                <w:szCs w:val="20"/>
                <w:color w:val="auto"/>
              </w:rPr>
            </w:pPr>
            <w:r>
              <w:rPr>
                <w:rFonts w:ascii="Arial" w:cs="Arial" w:eastAsia="Arial" w:hAnsi="Arial"/>
                <w:sz w:val="14"/>
                <w:szCs w:val="14"/>
                <w:color w:val="auto"/>
              </w:rPr>
              <w:t>1,155,326</w:t>
            </w:r>
          </w:p>
        </w:tc>
        <w:tc>
          <w:tcPr>
            <w:tcW w:w="0" w:type="dxa"/>
            <w:vAlign w:val="bottom"/>
          </w:tcPr>
          <w:p>
            <w:pPr>
              <w:spacing w:after="0"/>
              <w:rPr>
                <w:sz w:val="1"/>
                <w:szCs w:val="1"/>
                <w:color w:val="auto"/>
              </w:rPr>
            </w:pPr>
          </w:p>
        </w:tc>
      </w:tr>
      <w:tr>
        <w:trPr>
          <w:trHeight w:val="134"/>
        </w:trPr>
        <w:tc>
          <w:tcPr>
            <w:tcW w:w="100" w:type="dxa"/>
            <w:vAlign w:val="bottom"/>
            <w:shd w:val="clear" w:color="auto" w:fill="E6E6E6"/>
          </w:tcPr>
          <w:p>
            <w:pPr>
              <w:spacing w:after="0"/>
              <w:rPr>
                <w:sz w:val="11"/>
                <w:szCs w:val="11"/>
                <w:color w:val="auto"/>
              </w:rPr>
            </w:pPr>
          </w:p>
        </w:tc>
        <w:tc>
          <w:tcPr>
            <w:tcW w:w="1640" w:type="dxa"/>
            <w:vAlign w:val="bottom"/>
            <w:vMerge w:val="restart"/>
            <w:shd w:val="clear" w:color="auto" w:fill="E6E6E6"/>
          </w:tcPr>
          <w:p>
            <w:pPr>
              <w:ind w:left="60"/>
              <w:spacing w:after="0"/>
              <w:rPr>
                <w:sz w:val="20"/>
                <w:szCs w:val="20"/>
                <w:color w:val="auto"/>
              </w:rPr>
            </w:pPr>
            <w:r>
              <w:rPr>
                <w:rFonts w:ascii="Arial" w:cs="Arial" w:eastAsia="Arial" w:hAnsi="Arial"/>
                <w:sz w:val="14"/>
                <w:szCs w:val="14"/>
                <w:i w:val="1"/>
                <w:iCs w:val="1"/>
                <w:color w:val="auto"/>
              </w:rPr>
              <w:t>Operating Officer</w:t>
            </w:r>
          </w:p>
        </w:tc>
        <w:tc>
          <w:tcPr>
            <w:tcW w:w="120" w:type="dxa"/>
            <w:vAlign w:val="bottom"/>
            <w:shd w:val="clear" w:color="auto" w:fill="E6E6E6"/>
          </w:tcPr>
          <w:p>
            <w:pPr>
              <w:spacing w:after="0"/>
              <w:rPr>
                <w:sz w:val="11"/>
                <w:szCs w:val="11"/>
                <w:color w:val="auto"/>
              </w:rPr>
            </w:pPr>
          </w:p>
        </w:tc>
        <w:tc>
          <w:tcPr>
            <w:tcW w:w="460" w:type="dxa"/>
            <w:vAlign w:val="bottom"/>
            <w:vMerge w:val="continue"/>
            <w:shd w:val="clear" w:color="auto" w:fill="E6E6E6"/>
          </w:tcPr>
          <w:p>
            <w:pPr>
              <w:spacing w:after="0"/>
              <w:rPr>
                <w:sz w:val="11"/>
                <w:szCs w:val="11"/>
                <w:color w:val="auto"/>
              </w:rPr>
            </w:pPr>
          </w:p>
        </w:tc>
        <w:tc>
          <w:tcPr>
            <w:tcW w:w="120" w:type="dxa"/>
            <w:vAlign w:val="bottom"/>
            <w:shd w:val="clear" w:color="auto" w:fill="E6E6E6"/>
          </w:tcPr>
          <w:p>
            <w:pPr>
              <w:spacing w:after="0"/>
              <w:rPr>
                <w:sz w:val="11"/>
                <w:szCs w:val="11"/>
                <w:color w:val="auto"/>
              </w:rPr>
            </w:pPr>
          </w:p>
        </w:tc>
        <w:tc>
          <w:tcPr>
            <w:tcW w:w="900" w:type="dxa"/>
            <w:vAlign w:val="bottom"/>
            <w:vMerge w:val="continue"/>
            <w:shd w:val="clear" w:color="auto" w:fill="E6E6E6"/>
          </w:tcPr>
          <w:p>
            <w:pPr>
              <w:spacing w:after="0"/>
              <w:rPr>
                <w:sz w:val="11"/>
                <w:szCs w:val="11"/>
                <w:color w:val="auto"/>
              </w:rPr>
            </w:pPr>
          </w:p>
        </w:tc>
        <w:tc>
          <w:tcPr>
            <w:tcW w:w="880" w:type="dxa"/>
            <w:vAlign w:val="bottom"/>
            <w:vMerge w:val="continue"/>
            <w:shd w:val="clear" w:color="auto" w:fill="E6E6E6"/>
          </w:tcPr>
          <w:p>
            <w:pPr>
              <w:spacing w:after="0"/>
              <w:rPr>
                <w:sz w:val="11"/>
                <w:szCs w:val="11"/>
                <w:color w:val="auto"/>
              </w:rPr>
            </w:pPr>
          </w:p>
        </w:tc>
        <w:tc>
          <w:tcPr>
            <w:tcW w:w="880" w:type="dxa"/>
            <w:vAlign w:val="bottom"/>
            <w:vMerge w:val="continue"/>
            <w:shd w:val="clear" w:color="auto" w:fill="E6E6E6"/>
          </w:tcPr>
          <w:p>
            <w:pPr>
              <w:spacing w:after="0"/>
              <w:rPr>
                <w:sz w:val="11"/>
                <w:szCs w:val="11"/>
                <w:color w:val="auto"/>
              </w:rPr>
            </w:pPr>
          </w:p>
        </w:tc>
        <w:tc>
          <w:tcPr>
            <w:tcW w:w="820" w:type="dxa"/>
            <w:vAlign w:val="bottom"/>
            <w:vMerge w:val="continue"/>
            <w:shd w:val="clear" w:color="auto" w:fill="E6E6E6"/>
          </w:tcPr>
          <w:p>
            <w:pPr>
              <w:spacing w:after="0"/>
              <w:rPr>
                <w:sz w:val="11"/>
                <w:szCs w:val="11"/>
                <w:color w:val="auto"/>
              </w:rPr>
            </w:pPr>
          </w:p>
        </w:tc>
        <w:tc>
          <w:tcPr>
            <w:tcW w:w="1280" w:type="dxa"/>
            <w:vAlign w:val="bottom"/>
            <w:vMerge w:val="continue"/>
            <w:shd w:val="clear" w:color="auto" w:fill="E6E6E6"/>
          </w:tcPr>
          <w:p>
            <w:pPr>
              <w:spacing w:after="0"/>
              <w:rPr>
                <w:sz w:val="11"/>
                <w:szCs w:val="11"/>
                <w:color w:val="auto"/>
              </w:rPr>
            </w:pPr>
          </w:p>
        </w:tc>
        <w:tc>
          <w:tcPr>
            <w:tcW w:w="1300" w:type="dxa"/>
            <w:vAlign w:val="bottom"/>
            <w:vMerge w:val="continue"/>
            <w:shd w:val="clear" w:color="auto" w:fill="E6E6E6"/>
          </w:tcPr>
          <w:p>
            <w:pPr>
              <w:spacing w:after="0"/>
              <w:rPr>
                <w:sz w:val="11"/>
                <w:szCs w:val="11"/>
                <w:color w:val="auto"/>
              </w:rPr>
            </w:pPr>
          </w:p>
        </w:tc>
        <w:tc>
          <w:tcPr>
            <w:tcW w:w="900" w:type="dxa"/>
            <w:vAlign w:val="bottom"/>
            <w:vMerge w:val="continue"/>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00" w:type="dxa"/>
            <w:vAlign w:val="bottom"/>
            <w:shd w:val="clear" w:color="auto" w:fill="E6E6E6"/>
          </w:tcPr>
          <w:p>
            <w:pPr>
              <w:spacing w:after="0"/>
              <w:rPr>
                <w:sz w:val="4"/>
                <w:szCs w:val="4"/>
                <w:color w:val="auto"/>
              </w:rPr>
            </w:pPr>
          </w:p>
        </w:tc>
        <w:tc>
          <w:tcPr>
            <w:tcW w:w="1640" w:type="dxa"/>
            <w:vAlign w:val="bottom"/>
            <w:vMerge w:val="continue"/>
            <w:shd w:val="clear" w:color="auto" w:fill="E6E6E6"/>
          </w:tcPr>
          <w:p>
            <w:pPr>
              <w:spacing w:after="0"/>
              <w:rPr>
                <w:sz w:val="4"/>
                <w:szCs w:val="4"/>
                <w:color w:val="auto"/>
              </w:rPr>
            </w:pPr>
          </w:p>
        </w:tc>
        <w:tc>
          <w:tcPr>
            <w:tcW w:w="120" w:type="dxa"/>
            <w:vAlign w:val="bottom"/>
            <w:shd w:val="clear" w:color="auto" w:fill="E6E6E6"/>
          </w:tcPr>
          <w:p>
            <w:pPr>
              <w:spacing w:after="0"/>
              <w:rPr>
                <w:sz w:val="4"/>
                <w:szCs w:val="4"/>
                <w:color w:val="auto"/>
              </w:rPr>
            </w:pPr>
          </w:p>
        </w:tc>
        <w:tc>
          <w:tcPr>
            <w:tcW w:w="460" w:type="dxa"/>
            <w:vAlign w:val="bottom"/>
            <w:shd w:val="clear" w:color="auto" w:fill="E6E6E6"/>
          </w:tcPr>
          <w:p>
            <w:pPr>
              <w:spacing w:after="0"/>
              <w:rPr>
                <w:sz w:val="4"/>
                <w:szCs w:val="4"/>
                <w:color w:val="auto"/>
              </w:rPr>
            </w:pPr>
          </w:p>
        </w:tc>
        <w:tc>
          <w:tcPr>
            <w:tcW w:w="120" w:type="dxa"/>
            <w:vAlign w:val="bottom"/>
            <w:shd w:val="clear" w:color="auto" w:fill="E6E6E6"/>
          </w:tcPr>
          <w:p>
            <w:pPr>
              <w:spacing w:after="0"/>
              <w:rPr>
                <w:sz w:val="4"/>
                <w:szCs w:val="4"/>
                <w:color w:val="auto"/>
              </w:rPr>
            </w:pPr>
          </w:p>
        </w:tc>
        <w:tc>
          <w:tcPr>
            <w:tcW w:w="900" w:type="dxa"/>
            <w:vAlign w:val="bottom"/>
            <w:shd w:val="clear" w:color="auto" w:fill="E6E6E6"/>
          </w:tcPr>
          <w:p>
            <w:pPr>
              <w:spacing w:after="0"/>
              <w:rPr>
                <w:sz w:val="4"/>
                <w:szCs w:val="4"/>
                <w:color w:val="auto"/>
              </w:rPr>
            </w:pPr>
          </w:p>
        </w:tc>
        <w:tc>
          <w:tcPr>
            <w:tcW w:w="880" w:type="dxa"/>
            <w:vAlign w:val="bottom"/>
            <w:shd w:val="clear" w:color="auto" w:fill="E6E6E6"/>
          </w:tcPr>
          <w:p>
            <w:pPr>
              <w:spacing w:after="0"/>
              <w:rPr>
                <w:sz w:val="4"/>
                <w:szCs w:val="4"/>
                <w:color w:val="auto"/>
              </w:rPr>
            </w:pPr>
          </w:p>
        </w:tc>
        <w:tc>
          <w:tcPr>
            <w:tcW w:w="880" w:type="dxa"/>
            <w:vAlign w:val="bottom"/>
            <w:shd w:val="clear" w:color="auto" w:fill="E6E6E6"/>
          </w:tcPr>
          <w:p>
            <w:pPr>
              <w:spacing w:after="0"/>
              <w:rPr>
                <w:sz w:val="4"/>
                <w:szCs w:val="4"/>
                <w:color w:val="auto"/>
              </w:rPr>
            </w:pPr>
          </w:p>
        </w:tc>
        <w:tc>
          <w:tcPr>
            <w:tcW w:w="820" w:type="dxa"/>
            <w:vAlign w:val="bottom"/>
            <w:shd w:val="clear" w:color="auto" w:fill="E6E6E6"/>
          </w:tcPr>
          <w:p>
            <w:pPr>
              <w:spacing w:after="0"/>
              <w:rPr>
                <w:sz w:val="4"/>
                <w:szCs w:val="4"/>
                <w:color w:val="auto"/>
              </w:rPr>
            </w:pPr>
          </w:p>
        </w:tc>
        <w:tc>
          <w:tcPr>
            <w:tcW w:w="1280" w:type="dxa"/>
            <w:vAlign w:val="bottom"/>
            <w:shd w:val="clear" w:color="auto" w:fill="E6E6E6"/>
          </w:tcPr>
          <w:p>
            <w:pPr>
              <w:spacing w:after="0"/>
              <w:rPr>
                <w:sz w:val="4"/>
                <w:szCs w:val="4"/>
                <w:color w:val="auto"/>
              </w:rPr>
            </w:pPr>
          </w:p>
        </w:tc>
        <w:tc>
          <w:tcPr>
            <w:tcW w:w="1300" w:type="dxa"/>
            <w:vAlign w:val="bottom"/>
            <w:shd w:val="clear" w:color="auto" w:fill="E6E6E6"/>
          </w:tcPr>
          <w:p>
            <w:pPr>
              <w:spacing w:after="0"/>
              <w:rPr>
                <w:sz w:val="4"/>
                <w:szCs w:val="4"/>
                <w:color w:val="auto"/>
              </w:rPr>
            </w:pPr>
          </w:p>
        </w:tc>
        <w:tc>
          <w:tcPr>
            <w:tcW w:w="900" w:type="dxa"/>
            <w:vAlign w:val="bottom"/>
            <w:shd w:val="clear" w:color="auto" w:fill="E6E6E6"/>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00" w:type="dxa"/>
            <w:vAlign w:val="bottom"/>
            <w:shd w:val="clear" w:color="auto" w:fill="E6E6E6"/>
          </w:tcPr>
          <w:p>
            <w:pPr>
              <w:spacing w:after="0"/>
              <w:rPr>
                <w:sz w:val="22"/>
                <w:szCs w:val="22"/>
                <w:color w:val="auto"/>
              </w:rPr>
            </w:pPr>
          </w:p>
        </w:tc>
        <w:tc>
          <w:tcPr>
            <w:tcW w:w="1640" w:type="dxa"/>
            <w:vAlign w:val="bottom"/>
            <w:shd w:val="clear" w:color="auto" w:fill="E6E6E6"/>
          </w:tcPr>
          <w:p>
            <w:pPr>
              <w:spacing w:after="0"/>
              <w:rPr>
                <w:sz w:val="22"/>
                <w:szCs w:val="22"/>
                <w:color w:val="auto"/>
              </w:rPr>
            </w:pPr>
          </w:p>
        </w:tc>
        <w:tc>
          <w:tcPr>
            <w:tcW w:w="120" w:type="dxa"/>
            <w:vAlign w:val="bottom"/>
            <w:shd w:val="clear" w:color="auto" w:fill="E6E6E6"/>
          </w:tcPr>
          <w:p>
            <w:pPr>
              <w:spacing w:after="0"/>
              <w:rPr>
                <w:sz w:val="22"/>
                <w:szCs w:val="22"/>
                <w:color w:val="auto"/>
              </w:rPr>
            </w:pPr>
          </w:p>
        </w:tc>
        <w:tc>
          <w:tcPr>
            <w:tcW w:w="460" w:type="dxa"/>
            <w:vAlign w:val="bottom"/>
            <w:shd w:val="clear" w:color="auto" w:fill="E6E6E6"/>
          </w:tcPr>
          <w:p>
            <w:pPr>
              <w:jc w:val="right"/>
              <w:spacing w:after="0"/>
              <w:rPr>
                <w:sz w:val="20"/>
                <w:szCs w:val="20"/>
                <w:color w:val="auto"/>
              </w:rPr>
            </w:pPr>
            <w:r>
              <w:rPr>
                <w:rFonts w:ascii="Arial" w:cs="Arial" w:eastAsia="Arial" w:hAnsi="Arial"/>
                <w:sz w:val="14"/>
                <w:szCs w:val="14"/>
                <w:color w:val="auto"/>
              </w:rPr>
              <w:t>2024</w:t>
            </w:r>
          </w:p>
        </w:tc>
        <w:tc>
          <w:tcPr>
            <w:tcW w:w="120" w:type="dxa"/>
            <w:vAlign w:val="bottom"/>
            <w:shd w:val="clear" w:color="auto" w:fill="E6E6E6"/>
          </w:tcPr>
          <w:p>
            <w:pPr>
              <w:spacing w:after="0"/>
              <w:rPr>
                <w:sz w:val="22"/>
                <w:szCs w:val="22"/>
                <w:color w:val="auto"/>
              </w:rPr>
            </w:pPr>
          </w:p>
        </w:tc>
        <w:tc>
          <w:tcPr>
            <w:tcW w:w="900" w:type="dxa"/>
            <w:vAlign w:val="bottom"/>
            <w:shd w:val="clear" w:color="auto" w:fill="E6E6E6"/>
          </w:tcPr>
          <w:p>
            <w:pPr>
              <w:jc w:val="right"/>
              <w:ind w:right="70"/>
              <w:spacing w:after="0"/>
              <w:rPr>
                <w:sz w:val="20"/>
                <w:szCs w:val="20"/>
                <w:color w:val="auto"/>
              </w:rPr>
            </w:pPr>
            <w:r>
              <w:rPr>
                <w:rFonts w:ascii="Arial" w:cs="Arial" w:eastAsia="Arial" w:hAnsi="Arial"/>
                <w:sz w:val="14"/>
                <w:szCs w:val="14"/>
                <w:color w:val="auto"/>
              </w:rPr>
              <w:t>600,000</w:t>
            </w:r>
          </w:p>
        </w:tc>
        <w:tc>
          <w:tcPr>
            <w:tcW w:w="880" w:type="dxa"/>
            <w:vAlign w:val="bottom"/>
            <w:shd w:val="clear" w:color="auto" w:fill="E6E6E6"/>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shd w:val="clear" w:color="auto" w:fill="E6E6E6"/>
          </w:tcPr>
          <w:p>
            <w:pPr>
              <w:jc w:val="right"/>
              <w:ind w:right="50"/>
              <w:spacing w:after="0"/>
              <w:rPr>
                <w:sz w:val="20"/>
                <w:szCs w:val="20"/>
                <w:color w:val="auto"/>
              </w:rPr>
            </w:pPr>
            <w:r>
              <w:rPr>
                <w:rFonts w:ascii="Arial" w:cs="Arial" w:eastAsia="Arial" w:hAnsi="Arial"/>
                <w:sz w:val="14"/>
                <w:szCs w:val="14"/>
                <w:color w:val="auto"/>
              </w:rPr>
              <w:t>449,978</w:t>
            </w:r>
          </w:p>
        </w:tc>
        <w:tc>
          <w:tcPr>
            <w:tcW w:w="820" w:type="dxa"/>
            <w:vAlign w:val="bottom"/>
            <w:shd w:val="clear" w:color="auto" w:fill="E6E6E6"/>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shd w:val="clear" w:color="auto" w:fill="E6E6E6"/>
          </w:tcPr>
          <w:p>
            <w:pPr>
              <w:jc w:val="right"/>
              <w:ind w:right="72"/>
              <w:spacing w:after="0"/>
              <w:rPr>
                <w:sz w:val="20"/>
                <w:szCs w:val="20"/>
                <w:color w:val="auto"/>
              </w:rPr>
            </w:pPr>
            <w:r>
              <w:rPr>
                <w:rFonts w:ascii="Arial" w:cs="Arial" w:eastAsia="Arial" w:hAnsi="Arial"/>
                <w:sz w:val="14"/>
                <w:szCs w:val="14"/>
                <w:color w:val="auto"/>
              </w:rPr>
              <w:t>—</w:t>
            </w:r>
          </w:p>
        </w:tc>
        <w:tc>
          <w:tcPr>
            <w:tcW w:w="1300" w:type="dxa"/>
            <w:vAlign w:val="bottom"/>
            <w:shd w:val="clear" w:color="auto" w:fill="E6E6E6"/>
          </w:tcPr>
          <w:p>
            <w:pPr>
              <w:jc w:val="right"/>
              <w:ind w:right="90"/>
              <w:spacing w:after="0"/>
              <w:rPr>
                <w:sz w:val="20"/>
                <w:szCs w:val="20"/>
                <w:color w:val="auto"/>
              </w:rPr>
            </w:pPr>
            <w:r>
              <w:rPr>
                <w:rFonts w:ascii="Arial" w:cs="Arial" w:eastAsia="Arial" w:hAnsi="Arial"/>
                <w:sz w:val="14"/>
                <w:szCs w:val="14"/>
                <w:color w:val="auto"/>
              </w:rPr>
              <w:t>72,000</w:t>
            </w:r>
          </w:p>
        </w:tc>
        <w:tc>
          <w:tcPr>
            <w:tcW w:w="900" w:type="dxa"/>
            <w:vAlign w:val="bottom"/>
            <w:shd w:val="clear" w:color="auto" w:fill="E6E6E6"/>
          </w:tcPr>
          <w:p>
            <w:pPr>
              <w:jc w:val="right"/>
              <w:ind w:right="30"/>
              <w:spacing w:after="0"/>
              <w:rPr>
                <w:sz w:val="20"/>
                <w:szCs w:val="20"/>
                <w:color w:val="auto"/>
              </w:rPr>
            </w:pPr>
            <w:r>
              <w:rPr>
                <w:rFonts w:ascii="Arial" w:cs="Arial" w:eastAsia="Arial" w:hAnsi="Arial"/>
                <w:sz w:val="14"/>
                <w:szCs w:val="14"/>
                <w:color w:val="auto"/>
              </w:rPr>
              <w:t>1,121,978</w:t>
            </w:r>
          </w:p>
        </w:tc>
        <w:tc>
          <w:tcPr>
            <w:tcW w:w="0" w:type="dxa"/>
            <w:vAlign w:val="bottom"/>
          </w:tcPr>
          <w:p>
            <w:pPr>
              <w:spacing w:after="0"/>
              <w:rPr>
                <w:sz w:val="1"/>
                <w:szCs w:val="1"/>
                <w:color w:val="auto"/>
              </w:rPr>
            </w:pPr>
          </w:p>
        </w:tc>
      </w:tr>
      <w:tr>
        <w:trPr>
          <w:trHeight w:val="62"/>
        </w:trPr>
        <w:tc>
          <w:tcPr>
            <w:tcW w:w="100" w:type="dxa"/>
            <w:vAlign w:val="bottom"/>
            <w:shd w:val="clear" w:color="auto" w:fill="E6E6E6"/>
          </w:tcPr>
          <w:p>
            <w:pPr>
              <w:spacing w:after="0"/>
              <w:rPr>
                <w:sz w:val="5"/>
                <w:szCs w:val="5"/>
                <w:color w:val="auto"/>
              </w:rPr>
            </w:pPr>
          </w:p>
        </w:tc>
        <w:tc>
          <w:tcPr>
            <w:tcW w:w="164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460" w:type="dxa"/>
            <w:vAlign w:val="bottom"/>
            <w:shd w:val="clear" w:color="auto" w:fill="E6E6E6"/>
          </w:tcPr>
          <w:p>
            <w:pPr>
              <w:spacing w:after="0"/>
              <w:rPr>
                <w:sz w:val="5"/>
                <w:szCs w:val="5"/>
                <w:color w:val="auto"/>
              </w:rPr>
            </w:pPr>
          </w:p>
        </w:tc>
        <w:tc>
          <w:tcPr>
            <w:tcW w:w="120" w:type="dxa"/>
            <w:vAlign w:val="bottom"/>
            <w:shd w:val="clear" w:color="auto" w:fill="E6E6E6"/>
          </w:tcPr>
          <w:p>
            <w:pPr>
              <w:spacing w:after="0"/>
              <w:rPr>
                <w:sz w:val="5"/>
                <w:szCs w:val="5"/>
                <w:color w:val="auto"/>
              </w:rPr>
            </w:pPr>
          </w:p>
        </w:tc>
        <w:tc>
          <w:tcPr>
            <w:tcW w:w="900" w:type="dxa"/>
            <w:vAlign w:val="bottom"/>
            <w:shd w:val="clear" w:color="auto" w:fill="E6E6E6"/>
          </w:tcPr>
          <w:p>
            <w:pPr>
              <w:spacing w:after="0"/>
              <w:rPr>
                <w:sz w:val="5"/>
                <w:szCs w:val="5"/>
                <w:color w:val="auto"/>
              </w:rPr>
            </w:pPr>
          </w:p>
        </w:tc>
        <w:tc>
          <w:tcPr>
            <w:tcW w:w="880" w:type="dxa"/>
            <w:vAlign w:val="bottom"/>
            <w:shd w:val="clear" w:color="auto" w:fill="E6E6E6"/>
          </w:tcPr>
          <w:p>
            <w:pPr>
              <w:spacing w:after="0"/>
              <w:rPr>
                <w:sz w:val="5"/>
                <w:szCs w:val="5"/>
                <w:color w:val="auto"/>
              </w:rPr>
            </w:pPr>
          </w:p>
        </w:tc>
        <w:tc>
          <w:tcPr>
            <w:tcW w:w="880" w:type="dxa"/>
            <w:vAlign w:val="bottom"/>
            <w:shd w:val="clear" w:color="auto" w:fill="E6E6E6"/>
          </w:tcPr>
          <w:p>
            <w:pPr>
              <w:spacing w:after="0"/>
              <w:rPr>
                <w:sz w:val="5"/>
                <w:szCs w:val="5"/>
                <w:color w:val="auto"/>
              </w:rPr>
            </w:pPr>
          </w:p>
        </w:tc>
        <w:tc>
          <w:tcPr>
            <w:tcW w:w="820" w:type="dxa"/>
            <w:vAlign w:val="bottom"/>
            <w:shd w:val="clear" w:color="auto" w:fill="E6E6E6"/>
          </w:tcPr>
          <w:p>
            <w:pPr>
              <w:spacing w:after="0"/>
              <w:rPr>
                <w:sz w:val="5"/>
                <w:szCs w:val="5"/>
                <w:color w:val="auto"/>
              </w:rPr>
            </w:pPr>
          </w:p>
        </w:tc>
        <w:tc>
          <w:tcPr>
            <w:tcW w:w="1280" w:type="dxa"/>
            <w:vAlign w:val="bottom"/>
            <w:shd w:val="clear" w:color="auto" w:fill="E6E6E6"/>
          </w:tcPr>
          <w:p>
            <w:pPr>
              <w:spacing w:after="0"/>
              <w:rPr>
                <w:sz w:val="5"/>
                <w:szCs w:val="5"/>
                <w:color w:val="auto"/>
              </w:rPr>
            </w:pPr>
          </w:p>
        </w:tc>
        <w:tc>
          <w:tcPr>
            <w:tcW w:w="1300" w:type="dxa"/>
            <w:vAlign w:val="bottom"/>
            <w:shd w:val="clear" w:color="auto" w:fill="E6E6E6"/>
          </w:tcPr>
          <w:p>
            <w:pPr>
              <w:spacing w:after="0"/>
              <w:rPr>
                <w:sz w:val="5"/>
                <w:szCs w:val="5"/>
                <w:color w:val="auto"/>
              </w:rPr>
            </w:pPr>
          </w:p>
        </w:tc>
        <w:tc>
          <w:tcPr>
            <w:tcW w:w="90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0" w:type="dxa"/>
            <w:vAlign w:val="bottom"/>
          </w:tcPr>
          <w:p>
            <w:pPr>
              <w:spacing w:after="0"/>
              <w:rPr>
                <w:sz w:val="24"/>
                <w:szCs w:val="24"/>
                <w:color w:val="auto"/>
              </w:rPr>
            </w:pPr>
          </w:p>
        </w:tc>
        <w:tc>
          <w:tcPr>
            <w:tcW w:w="1640" w:type="dxa"/>
            <w:vAlign w:val="bottom"/>
          </w:tcPr>
          <w:p>
            <w:pPr>
              <w:ind w:left="60"/>
              <w:spacing w:after="0"/>
              <w:rPr>
                <w:sz w:val="20"/>
                <w:szCs w:val="20"/>
                <w:color w:val="auto"/>
              </w:rPr>
            </w:pPr>
            <w:r>
              <w:rPr>
                <w:rFonts w:ascii="Arial" w:cs="Arial" w:eastAsia="Arial" w:hAnsi="Arial"/>
                <w:sz w:val="14"/>
                <w:szCs w:val="14"/>
                <w:b w:val="1"/>
                <w:bCs w:val="1"/>
                <w:color w:val="auto"/>
              </w:rPr>
              <w:t>Mitchell C. Sussis,</w:t>
            </w:r>
          </w:p>
        </w:tc>
        <w:tc>
          <w:tcPr>
            <w:tcW w:w="700" w:type="dxa"/>
            <w:vAlign w:val="bottom"/>
            <w:gridSpan w:val="3"/>
          </w:tcPr>
          <w:p>
            <w:pPr>
              <w:jc w:val="right"/>
              <w:ind w:right="120"/>
              <w:spacing w:after="0"/>
              <w:rPr>
                <w:sz w:val="20"/>
                <w:szCs w:val="20"/>
                <w:color w:val="auto"/>
              </w:rPr>
            </w:pPr>
            <w:r>
              <w:rPr>
                <w:rFonts w:ascii="Arial" w:cs="Arial" w:eastAsia="Arial" w:hAnsi="Arial"/>
                <w:sz w:val="14"/>
                <w:szCs w:val="14"/>
                <w:color w:val="auto"/>
              </w:rPr>
              <w:t>2026</w:t>
            </w:r>
          </w:p>
        </w:tc>
        <w:tc>
          <w:tcPr>
            <w:tcW w:w="900" w:type="dxa"/>
            <w:vAlign w:val="bottom"/>
          </w:tcPr>
          <w:p>
            <w:pPr>
              <w:jc w:val="right"/>
              <w:ind w:right="70"/>
              <w:spacing w:after="0"/>
              <w:rPr>
                <w:sz w:val="20"/>
                <w:szCs w:val="20"/>
                <w:color w:val="auto"/>
              </w:rPr>
            </w:pPr>
            <w:r>
              <w:rPr>
                <w:rFonts w:ascii="Arial" w:cs="Arial" w:eastAsia="Arial" w:hAnsi="Arial"/>
                <w:sz w:val="14"/>
                <w:szCs w:val="14"/>
                <w:color w:val="auto"/>
              </w:rPr>
              <w:t>473,419</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213,779</w:t>
            </w:r>
          </w:p>
        </w:tc>
        <w:tc>
          <w:tcPr>
            <w:tcW w:w="880" w:type="dxa"/>
            <w:vAlign w:val="bottom"/>
          </w:tcPr>
          <w:p>
            <w:pPr>
              <w:jc w:val="right"/>
              <w:ind w:right="50"/>
              <w:spacing w:after="0"/>
              <w:rPr>
                <w:sz w:val="20"/>
                <w:szCs w:val="20"/>
                <w:color w:val="auto"/>
              </w:rPr>
            </w:pPr>
            <w:r>
              <w:rPr>
                <w:rFonts w:ascii="Arial" w:cs="Arial" w:eastAsia="Arial" w:hAnsi="Arial"/>
                <w:sz w:val="14"/>
                <w:szCs w:val="14"/>
                <w:color w:val="auto"/>
              </w:rPr>
              <w:t>237,530</w:t>
            </w:r>
          </w:p>
        </w:tc>
        <w:tc>
          <w:tcPr>
            <w:tcW w:w="8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00" w:type="dxa"/>
            <w:vAlign w:val="bottom"/>
          </w:tcPr>
          <w:p>
            <w:pPr>
              <w:jc w:val="right"/>
              <w:ind w:right="90"/>
              <w:spacing w:after="0"/>
              <w:rPr>
                <w:sz w:val="20"/>
                <w:szCs w:val="20"/>
                <w:color w:val="auto"/>
              </w:rPr>
            </w:pPr>
            <w:r>
              <w:rPr>
                <w:rFonts w:ascii="Arial" w:cs="Arial" w:eastAsia="Arial" w:hAnsi="Arial"/>
                <w:sz w:val="14"/>
                <w:szCs w:val="14"/>
                <w:color w:val="auto"/>
              </w:rPr>
              <w:t>35,556</w:t>
            </w:r>
            <w:r>
              <w:rPr>
                <w:rFonts w:ascii="Arial" w:cs="Arial" w:eastAsia="Arial" w:hAnsi="Arial"/>
                <w:sz w:val="23"/>
                <w:szCs w:val="23"/>
                <w:color w:val="auto"/>
                <w:vertAlign w:val="superscript"/>
              </w:rPr>
              <w:t>(7)</w:t>
            </w:r>
          </w:p>
        </w:tc>
        <w:tc>
          <w:tcPr>
            <w:tcW w:w="900" w:type="dxa"/>
            <w:vAlign w:val="bottom"/>
          </w:tcPr>
          <w:p>
            <w:pPr>
              <w:jc w:val="right"/>
              <w:ind w:right="30"/>
              <w:spacing w:after="0"/>
              <w:rPr>
                <w:sz w:val="20"/>
                <w:szCs w:val="20"/>
                <w:color w:val="auto"/>
              </w:rPr>
            </w:pPr>
            <w:r>
              <w:rPr>
                <w:rFonts w:ascii="Arial" w:cs="Arial" w:eastAsia="Arial" w:hAnsi="Arial"/>
                <w:sz w:val="14"/>
                <w:szCs w:val="14"/>
                <w:color w:val="auto"/>
              </w:rPr>
              <w:t>960,284</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640" w:type="dxa"/>
            <w:vAlign w:val="bottom"/>
          </w:tcPr>
          <w:p>
            <w:pPr>
              <w:ind w:left="60"/>
              <w:spacing w:after="0"/>
              <w:rPr>
                <w:sz w:val="20"/>
                <w:szCs w:val="20"/>
                <w:color w:val="auto"/>
              </w:rPr>
            </w:pPr>
            <w:r>
              <w:rPr>
                <w:rFonts w:ascii="Arial" w:cs="Arial" w:eastAsia="Arial" w:hAnsi="Arial"/>
                <w:sz w:val="14"/>
                <w:szCs w:val="14"/>
                <w:i w:val="1"/>
                <w:iCs w:val="1"/>
                <w:color w:val="auto"/>
              </w:rPr>
              <w:t>SVP, General</w:t>
            </w:r>
          </w:p>
        </w:tc>
        <w:tc>
          <w:tcPr>
            <w:tcW w:w="7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2025</w:t>
            </w:r>
          </w:p>
        </w:tc>
        <w:tc>
          <w:tcPr>
            <w:tcW w:w="900" w:type="dxa"/>
            <w:vAlign w:val="bottom"/>
            <w:vMerge w:val="restart"/>
          </w:tcPr>
          <w:p>
            <w:pPr>
              <w:jc w:val="right"/>
              <w:ind w:right="70"/>
              <w:spacing w:after="0"/>
              <w:rPr>
                <w:sz w:val="20"/>
                <w:szCs w:val="20"/>
                <w:color w:val="auto"/>
              </w:rPr>
            </w:pPr>
            <w:r>
              <w:rPr>
                <w:rFonts w:ascii="Arial" w:cs="Arial" w:eastAsia="Arial" w:hAnsi="Arial"/>
                <w:sz w:val="14"/>
                <w:szCs w:val="14"/>
                <w:color w:val="auto"/>
              </w:rPr>
              <w:t>480,330</w:t>
            </w: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232,908</w:t>
            </w:r>
          </w:p>
        </w:tc>
        <w:tc>
          <w:tcPr>
            <w:tcW w:w="820" w:type="dxa"/>
            <w:vAlign w:val="bottom"/>
            <w:vMerge w:val="restart"/>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90"/>
              <w:spacing w:after="0"/>
              <w:rPr>
                <w:sz w:val="20"/>
                <w:szCs w:val="20"/>
                <w:color w:val="auto"/>
              </w:rPr>
            </w:pPr>
            <w:r>
              <w:rPr>
                <w:rFonts w:ascii="Arial" w:cs="Arial" w:eastAsia="Arial" w:hAnsi="Arial"/>
                <w:sz w:val="14"/>
                <w:szCs w:val="14"/>
                <w:color w:val="auto"/>
              </w:rPr>
              <w:t>35,299</w:t>
            </w:r>
          </w:p>
        </w:tc>
        <w:tc>
          <w:tcPr>
            <w:tcW w:w="900" w:type="dxa"/>
            <w:vAlign w:val="bottom"/>
            <w:vMerge w:val="restart"/>
          </w:tcPr>
          <w:p>
            <w:pPr>
              <w:jc w:val="right"/>
              <w:ind w:right="30"/>
              <w:spacing w:after="0"/>
              <w:rPr>
                <w:sz w:val="20"/>
                <w:szCs w:val="20"/>
                <w:color w:val="auto"/>
              </w:rPr>
            </w:pPr>
            <w:r>
              <w:rPr>
                <w:rFonts w:ascii="Arial" w:cs="Arial" w:eastAsia="Arial" w:hAnsi="Arial"/>
                <w:sz w:val="14"/>
                <w:szCs w:val="14"/>
                <w:color w:val="auto"/>
              </w:rPr>
              <w:t>748,537</w:t>
            </w: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1640" w:type="dxa"/>
            <w:vAlign w:val="bottom"/>
          </w:tcPr>
          <w:p>
            <w:pPr>
              <w:ind w:left="60"/>
              <w:spacing w:after="0"/>
              <w:rPr>
                <w:sz w:val="20"/>
                <w:szCs w:val="20"/>
                <w:color w:val="auto"/>
              </w:rPr>
            </w:pPr>
            <w:r>
              <w:rPr>
                <w:rFonts w:ascii="Arial" w:cs="Arial" w:eastAsia="Arial" w:hAnsi="Arial"/>
                <w:sz w:val="14"/>
                <w:szCs w:val="14"/>
                <w:i w:val="1"/>
                <w:iCs w:val="1"/>
                <w:color w:val="auto"/>
              </w:rPr>
              <w:t>Counsel and</w:t>
            </w:r>
          </w:p>
        </w:tc>
        <w:tc>
          <w:tcPr>
            <w:tcW w:w="700" w:type="dxa"/>
            <w:vAlign w:val="bottom"/>
            <w:gridSpan w:val="3"/>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1640" w:type="dxa"/>
            <w:vAlign w:val="bottom"/>
          </w:tcPr>
          <w:p>
            <w:pPr>
              <w:ind w:left="60"/>
              <w:spacing w:after="0"/>
              <w:rPr>
                <w:sz w:val="20"/>
                <w:szCs w:val="20"/>
                <w:color w:val="auto"/>
              </w:rPr>
            </w:pPr>
            <w:r>
              <w:rPr>
                <w:rFonts w:ascii="Arial" w:cs="Arial" w:eastAsia="Arial" w:hAnsi="Arial"/>
                <w:sz w:val="14"/>
                <w:szCs w:val="14"/>
                <w:i w:val="1"/>
                <w:iCs w:val="1"/>
                <w:color w:val="auto"/>
              </w:rPr>
              <w:t>Secretary</w:t>
            </w:r>
          </w:p>
        </w:tc>
        <w:tc>
          <w:tcPr>
            <w:tcW w:w="7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2024</w:t>
            </w:r>
          </w:p>
        </w:tc>
        <w:tc>
          <w:tcPr>
            <w:tcW w:w="900" w:type="dxa"/>
            <w:vAlign w:val="bottom"/>
            <w:vMerge w:val="restart"/>
          </w:tcPr>
          <w:p>
            <w:pPr>
              <w:jc w:val="right"/>
              <w:ind w:right="70"/>
              <w:spacing w:after="0"/>
              <w:rPr>
                <w:sz w:val="20"/>
                <w:szCs w:val="20"/>
                <w:color w:val="auto"/>
              </w:rPr>
            </w:pPr>
            <w:r>
              <w:rPr>
                <w:rFonts w:ascii="Arial" w:cs="Arial" w:eastAsia="Arial" w:hAnsi="Arial"/>
                <w:sz w:val="14"/>
                <w:szCs w:val="14"/>
                <w:color w:val="auto"/>
              </w:rPr>
              <w:t>443,654</w:t>
            </w: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50"/>
              <w:spacing w:after="0"/>
              <w:rPr>
                <w:sz w:val="20"/>
                <w:szCs w:val="20"/>
                <w:color w:val="auto"/>
              </w:rPr>
            </w:pPr>
            <w:r>
              <w:rPr>
                <w:rFonts w:ascii="Arial" w:cs="Arial" w:eastAsia="Arial" w:hAnsi="Arial"/>
                <w:sz w:val="14"/>
                <w:szCs w:val="14"/>
                <w:color w:val="auto"/>
              </w:rPr>
              <w:t>224,989</w:t>
            </w:r>
          </w:p>
        </w:tc>
        <w:tc>
          <w:tcPr>
            <w:tcW w:w="820" w:type="dxa"/>
            <w:vAlign w:val="bottom"/>
            <w:vMerge w:val="restart"/>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vMerge w:val="restart"/>
          </w:tcPr>
          <w:p>
            <w:pPr>
              <w:jc w:val="right"/>
              <w:ind w:right="72"/>
              <w:spacing w:after="0"/>
              <w:rPr>
                <w:sz w:val="20"/>
                <w:szCs w:val="20"/>
                <w:color w:val="auto"/>
              </w:rPr>
            </w:pPr>
            <w:r>
              <w:rPr>
                <w:rFonts w:ascii="Arial" w:cs="Arial" w:eastAsia="Arial" w:hAnsi="Arial"/>
                <w:sz w:val="14"/>
                <w:szCs w:val="14"/>
                <w:color w:val="auto"/>
              </w:rPr>
              <w:t>—</w:t>
            </w:r>
          </w:p>
        </w:tc>
        <w:tc>
          <w:tcPr>
            <w:tcW w:w="1300" w:type="dxa"/>
            <w:vAlign w:val="bottom"/>
            <w:vMerge w:val="restart"/>
          </w:tcPr>
          <w:p>
            <w:pPr>
              <w:jc w:val="right"/>
              <w:ind w:right="90"/>
              <w:spacing w:after="0"/>
              <w:rPr>
                <w:sz w:val="20"/>
                <w:szCs w:val="20"/>
                <w:color w:val="auto"/>
              </w:rPr>
            </w:pPr>
            <w:r>
              <w:rPr>
                <w:rFonts w:ascii="Arial" w:cs="Arial" w:eastAsia="Arial" w:hAnsi="Arial"/>
                <w:sz w:val="14"/>
                <w:szCs w:val="14"/>
                <w:color w:val="auto"/>
              </w:rPr>
              <w:t>33,667</w:t>
            </w:r>
          </w:p>
        </w:tc>
        <w:tc>
          <w:tcPr>
            <w:tcW w:w="900" w:type="dxa"/>
            <w:vAlign w:val="bottom"/>
            <w:vMerge w:val="restart"/>
          </w:tcPr>
          <w:p>
            <w:pPr>
              <w:jc w:val="right"/>
              <w:ind w:right="30"/>
              <w:spacing w:after="0"/>
              <w:rPr>
                <w:sz w:val="20"/>
                <w:szCs w:val="20"/>
                <w:color w:val="auto"/>
              </w:rPr>
            </w:pPr>
            <w:r>
              <w:rPr>
                <w:rFonts w:ascii="Arial" w:cs="Arial" w:eastAsia="Arial" w:hAnsi="Arial"/>
                <w:sz w:val="14"/>
                <w:szCs w:val="14"/>
                <w:color w:val="auto"/>
              </w:rPr>
              <w:t>702,310</w:t>
            </w:r>
          </w:p>
        </w:tc>
        <w:tc>
          <w:tcPr>
            <w:tcW w:w="0" w:type="dxa"/>
            <w:vAlign w:val="bottom"/>
          </w:tcPr>
          <w:p>
            <w:pPr>
              <w:spacing w:after="0"/>
              <w:rPr>
                <w:sz w:val="1"/>
                <w:szCs w:val="1"/>
                <w:color w:val="auto"/>
              </w:rPr>
            </w:pPr>
          </w:p>
        </w:tc>
      </w:tr>
      <w:tr>
        <w:trPr>
          <w:trHeight w:val="94"/>
        </w:trPr>
        <w:tc>
          <w:tcPr>
            <w:tcW w:w="1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700" w:type="dxa"/>
            <w:vAlign w:val="bottom"/>
            <w:gridSpan w:val="3"/>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1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700" w:type="dxa"/>
            <w:vAlign w:val="bottom"/>
            <w:gridSpan w:val="3"/>
          </w:tcPr>
          <w:p>
            <w:pPr>
              <w:spacing w:after="0"/>
              <w:rPr>
                <w:sz w:val="5"/>
                <w:szCs w:val="5"/>
                <w:color w:val="auto"/>
              </w:rPr>
            </w:pPr>
          </w:p>
        </w:tc>
        <w:tc>
          <w:tcPr>
            <w:tcW w:w="900" w:type="dxa"/>
            <w:vAlign w:val="bottom"/>
          </w:tcPr>
          <w:p>
            <w:pPr>
              <w:spacing w:after="0"/>
              <w:rPr>
                <w:sz w:val="5"/>
                <w:szCs w:val="5"/>
                <w:color w:val="auto"/>
              </w:rPr>
            </w:pPr>
          </w:p>
        </w:tc>
        <w:tc>
          <w:tcPr>
            <w:tcW w:w="88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100" w:type="dxa"/>
            <w:vAlign w:val="bottom"/>
            <w:shd w:val="clear" w:color="auto" w:fill="E6E6E6"/>
          </w:tcPr>
          <w:p>
            <w:pPr>
              <w:spacing w:after="0"/>
              <w:rPr>
                <w:sz w:val="24"/>
                <w:szCs w:val="24"/>
                <w:color w:val="auto"/>
              </w:rPr>
            </w:pPr>
          </w:p>
        </w:tc>
        <w:tc>
          <w:tcPr>
            <w:tcW w:w="1640" w:type="dxa"/>
            <w:vAlign w:val="bottom"/>
            <w:shd w:val="clear" w:color="auto" w:fill="E6E6E6"/>
          </w:tcPr>
          <w:p>
            <w:pPr>
              <w:ind w:left="60"/>
              <w:spacing w:after="0"/>
              <w:rPr>
                <w:sz w:val="20"/>
                <w:szCs w:val="20"/>
                <w:color w:val="auto"/>
              </w:rPr>
            </w:pPr>
            <w:r>
              <w:rPr>
                <w:rFonts w:ascii="Arial" w:cs="Arial" w:eastAsia="Arial" w:hAnsi="Arial"/>
                <w:sz w:val="14"/>
                <w:szCs w:val="14"/>
                <w:b w:val="1"/>
                <w:bCs w:val="1"/>
                <w:color w:val="auto"/>
              </w:rPr>
              <w:t>Michelle Kennedy,</w:t>
            </w:r>
          </w:p>
        </w:tc>
        <w:tc>
          <w:tcPr>
            <w:tcW w:w="120" w:type="dxa"/>
            <w:vAlign w:val="bottom"/>
            <w:shd w:val="clear" w:color="auto" w:fill="E6E6E6"/>
          </w:tcPr>
          <w:p>
            <w:pPr>
              <w:spacing w:after="0"/>
              <w:rPr>
                <w:sz w:val="24"/>
                <w:szCs w:val="24"/>
                <w:color w:val="auto"/>
              </w:rPr>
            </w:pPr>
          </w:p>
        </w:tc>
        <w:tc>
          <w:tcPr>
            <w:tcW w:w="580" w:type="dxa"/>
            <w:vAlign w:val="bottom"/>
            <w:gridSpan w:val="2"/>
            <w:shd w:val="clear" w:color="auto" w:fill="E6E6E6"/>
          </w:tcPr>
          <w:p>
            <w:pPr>
              <w:jc w:val="right"/>
              <w:ind w:right="120"/>
              <w:spacing w:after="0"/>
              <w:rPr>
                <w:sz w:val="20"/>
                <w:szCs w:val="20"/>
                <w:color w:val="auto"/>
              </w:rPr>
            </w:pPr>
            <w:r>
              <w:rPr>
                <w:rFonts w:ascii="Arial" w:cs="Arial" w:eastAsia="Arial" w:hAnsi="Arial"/>
                <w:sz w:val="14"/>
                <w:szCs w:val="14"/>
                <w:color w:val="auto"/>
              </w:rPr>
              <w:t>2026</w:t>
            </w:r>
          </w:p>
        </w:tc>
        <w:tc>
          <w:tcPr>
            <w:tcW w:w="900" w:type="dxa"/>
            <w:vAlign w:val="bottom"/>
            <w:shd w:val="clear" w:color="auto" w:fill="E6E6E6"/>
          </w:tcPr>
          <w:p>
            <w:pPr>
              <w:jc w:val="right"/>
              <w:ind w:right="70"/>
              <w:spacing w:after="0"/>
              <w:rPr>
                <w:sz w:val="20"/>
                <w:szCs w:val="20"/>
                <w:color w:val="auto"/>
              </w:rPr>
            </w:pPr>
            <w:r>
              <w:rPr>
                <w:rFonts w:ascii="Arial" w:cs="Arial" w:eastAsia="Arial" w:hAnsi="Arial"/>
                <w:sz w:val="14"/>
                <w:szCs w:val="14"/>
                <w:color w:val="auto"/>
              </w:rPr>
              <w:t>473,419</w:t>
            </w:r>
          </w:p>
        </w:tc>
        <w:tc>
          <w:tcPr>
            <w:tcW w:w="880" w:type="dxa"/>
            <w:vAlign w:val="bottom"/>
            <w:shd w:val="clear" w:color="auto" w:fill="E6E6E6"/>
          </w:tcPr>
          <w:p>
            <w:pPr>
              <w:jc w:val="right"/>
              <w:ind w:right="50"/>
              <w:spacing w:after="0"/>
              <w:rPr>
                <w:sz w:val="20"/>
                <w:szCs w:val="20"/>
                <w:color w:val="auto"/>
              </w:rPr>
            </w:pPr>
            <w:r>
              <w:rPr>
                <w:rFonts w:ascii="Arial" w:cs="Arial" w:eastAsia="Arial" w:hAnsi="Arial"/>
                <w:sz w:val="14"/>
                <w:szCs w:val="14"/>
                <w:color w:val="auto"/>
              </w:rPr>
              <w:t>213,779</w:t>
            </w:r>
          </w:p>
        </w:tc>
        <w:tc>
          <w:tcPr>
            <w:tcW w:w="880" w:type="dxa"/>
            <w:vAlign w:val="bottom"/>
            <w:shd w:val="clear" w:color="auto" w:fill="E6E6E6"/>
          </w:tcPr>
          <w:p>
            <w:pPr>
              <w:jc w:val="right"/>
              <w:ind w:right="50"/>
              <w:spacing w:after="0"/>
              <w:rPr>
                <w:sz w:val="20"/>
                <w:szCs w:val="20"/>
                <w:color w:val="auto"/>
              </w:rPr>
            </w:pPr>
            <w:r>
              <w:rPr>
                <w:rFonts w:ascii="Arial" w:cs="Arial" w:eastAsia="Arial" w:hAnsi="Arial"/>
                <w:sz w:val="14"/>
                <w:szCs w:val="14"/>
                <w:color w:val="auto"/>
              </w:rPr>
              <w:t>237,530</w:t>
            </w:r>
          </w:p>
        </w:tc>
        <w:tc>
          <w:tcPr>
            <w:tcW w:w="820" w:type="dxa"/>
            <w:vAlign w:val="bottom"/>
            <w:shd w:val="clear" w:color="auto" w:fill="E6E6E6"/>
          </w:tcPr>
          <w:p>
            <w:pPr>
              <w:spacing w:after="0"/>
              <w:rPr>
                <w:sz w:val="24"/>
                <w:szCs w:val="24"/>
                <w:color w:val="auto"/>
              </w:rPr>
            </w:pPr>
          </w:p>
        </w:tc>
        <w:tc>
          <w:tcPr>
            <w:tcW w:w="1280" w:type="dxa"/>
            <w:vAlign w:val="bottom"/>
            <w:shd w:val="clear" w:color="auto" w:fill="E6E6E6"/>
          </w:tcPr>
          <w:p>
            <w:pPr>
              <w:spacing w:after="0"/>
              <w:rPr>
                <w:sz w:val="24"/>
                <w:szCs w:val="24"/>
                <w:color w:val="auto"/>
              </w:rPr>
            </w:pPr>
          </w:p>
        </w:tc>
        <w:tc>
          <w:tcPr>
            <w:tcW w:w="1300" w:type="dxa"/>
            <w:vAlign w:val="bottom"/>
            <w:shd w:val="clear" w:color="auto" w:fill="E6E6E6"/>
          </w:tcPr>
          <w:p>
            <w:pPr>
              <w:jc w:val="right"/>
              <w:ind w:right="90"/>
              <w:spacing w:after="0"/>
              <w:rPr>
                <w:sz w:val="20"/>
                <w:szCs w:val="20"/>
                <w:color w:val="auto"/>
              </w:rPr>
            </w:pPr>
            <w:r>
              <w:rPr>
                <w:rFonts w:ascii="Arial" w:cs="Arial" w:eastAsia="Arial" w:hAnsi="Arial"/>
                <w:sz w:val="14"/>
                <w:szCs w:val="14"/>
                <w:color w:val="auto"/>
              </w:rPr>
              <w:t>65,956</w:t>
            </w:r>
            <w:r>
              <w:rPr>
                <w:rFonts w:ascii="Arial" w:cs="Arial" w:eastAsia="Arial" w:hAnsi="Arial"/>
                <w:sz w:val="23"/>
                <w:szCs w:val="23"/>
                <w:color w:val="auto"/>
                <w:vertAlign w:val="superscript"/>
              </w:rPr>
              <w:t>(8)</w:t>
            </w:r>
          </w:p>
        </w:tc>
        <w:tc>
          <w:tcPr>
            <w:tcW w:w="900" w:type="dxa"/>
            <w:vAlign w:val="bottom"/>
            <w:shd w:val="clear" w:color="auto" w:fill="E6E6E6"/>
          </w:tcPr>
          <w:p>
            <w:pPr>
              <w:jc w:val="right"/>
              <w:ind w:right="30"/>
              <w:spacing w:after="0"/>
              <w:rPr>
                <w:sz w:val="20"/>
                <w:szCs w:val="20"/>
                <w:color w:val="auto"/>
              </w:rPr>
            </w:pPr>
            <w:r>
              <w:rPr>
                <w:rFonts w:ascii="Arial" w:cs="Arial" w:eastAsia="Arial" w:hAnsi="Arial"/>
                <w:sz w:val="14"/>
                <w:szCs w:val="14"/>
                <w:color w:val="auto"/>
              </w:rPr>
              <w:t>990,684</w:t>
            </w:r>
          </w:p>
        </w:tc>
        <w:tc>
          <w:tcPr>
            <w:tcW w:w="0" w:type="dxa"/>
            <w:vAlign w:val="bottom"/>
          </w:tcPr>
          <w:p>
            <w:pPr>
              <w:spacing w:after="0"/>
              <w:rPr>
                <w:sz w:val="1"/>
                <w:szCs w:val="1"/>
                <w:color w:val="auto"/>
              </w:rPr>
            </w:pPr>
          </w:p>
        </w:tc>
      </w:tr>
      <w:tr>
        <w:trPr>
          <w:trHeight w:val="162"/>
        </w:trPr>
        <w:tc>
          <w:tcPr>
            <w:tcW w:w="100" w:type="dxa"/>
            <w:vAlign w:val="bottom"/>
            <w:shd w:val="clear" w:color="auto" w:fill="E6E6E6"/>
          </w:tcPr>
          <w:p>
            <w:pPr>
              <w:spacing w:after="0"/>
              <w:rPr>
                <w:sz w:val="14"/>
                <w:szCs w:val="14"/>
                <w:color w:val="auto"/>
              </w:rPr>
            </w:pPr>
          </w:p>
        </w:tc>
        <w:tc>
          <w:tcPr>
            <w:tcW w:w="1640" w:type="dxa"/>
            <w:vAlign w:val="bottom"/>
            <w:shd w:val="clear" w:color="auto" w:fill="E6E6E6"/>
          </w:tcPr>
          <w:p>
            <w:pPr>
              <w:ind w:left="60"/>
              <w:spacing w:after="0"/>
              <w:rPr>
                <w:sz w:val="20"/>
                <w:szCs w:val="20"/>
                <w:color w:val="auto"/>
              </w:rPr>
            </w:pPr>
            <w:r>
              <w:rPr>
                <w:rFonts w:ascii="Arial" w:cs="Arial" w:eastAsia="Arial" w:hAnsi="Arial"/>
                <w:sz w:val="14"/>
                <w:szCs w:val="14"/>
                <w:i w:val="1"/>
                <w:iCs w:val="1"/>
                <w:color w:val="auto"/>
              </w:rPr>
              <w:t>SVP, Chief Human</w:t>
            </w:r>
          </w:p>
        </w:tc>
        <w:tc>
          <w:tcPr>
            <w:tcW w:w="120" w:type="dxa"/>
            <w:vAlign w:val="bottom"/>
            <w:shd w:val="clear" w:color="auto" w:fill="E6E6E6"/>
          </w:tcPr>
          <w:p>
            <w:pPr>
              <w:spacing w:after="0"/>
              <w:rPr>
                <w:sz w:val="14"/>
                <w:szCs w:val="14"/>
                <w:color w:val="auto"/>
              </w:rPr>
            </w:pPr>
          </w:p>
        </w:tc>
        <w:tc>
          <w:tcPr>
            <w:tcW w:w="460" w:type="dxa"/>
            <w:vAlign w:val="bottom"/>
            <w:vMerge w:val="restart"/>
            <w:shd w:val="clear" w:color="auto" w:fill="E6E6E6"/>
          </w:tcPr>
          <w:p>
            <w:pPr>
              <w:jc w:val="right"/>
              <w:spacing w:after="0"/>
              <w:rPr>
                <w:sz w:val="20"/>
                <w:szCs w:val="20"/>
                <w:color w:val="auto"/>
              </w:rPr>
            </w:pPr>
            <w:r>
              <w:rPr>
                <w:rFonts w:ascii="Arial" w:cs="Arial" w:eastAsia="Arial" w:hAnsi="Arial"/>
                <w:sz w:val="14"/>
                <w:szCs w:val="14"/>
                <w:color w:val="auto"/>
              </w:rPr>
              <w:t>2025</w:t>
            </w:r>
          </w:p>
        </w:tc>
        <w:tc>
          <w:tcPr>
            <w:tcW w:w="120" w:type="dxa"/>
            <w:vAlign w:val="bottom"/>
            <w:shd w:val="clear" w:color="auto" w:fill="E6E6E6"/>
          </w:tcPr>
          <w:p>
            <w:pPr>
              <w:spacing w:after="0"/>
              <w:rPr>
                <w:sz w:val="14"/>
                <w:szCs w:val="14"/>
                <w:color w:val="auto"/>
              </w:rPr>
            </w:pPr>
          </w:p>
        </w:tc>
        <w:tc>
          <w:tcPr>
            <w:tcW w:w="900" w:type="dxa"/>
            <w:vAlign w:val="bottom"/>
            <w:vMerge w:val="restart"/>
            <w:shd w:val="clear" w:color="auto" w:fill="E6E6E6"/>
          </w:tcPr>
          <w:p>
            <w:pPr>
              <w:jc w:val="right"/>
              <w:ind w:right="70"/>
              <w:spacing w:after="0"/>
              <w:rPr>
                <w:sz w:val="20"/>
                <w:szCs w:val="20"/>
                <w:color w:val="auto"/>
              </w:rPr>
            </w:pPr>
            <w:r>
              <w:rPr>
                <w:rFonts w:ascii="Arial" w:cs="Arial" w:eastAsia="Arial" w:hAnsi="Arial"/>
                <w:sz w:val="14"/>
                <w:szCs w:val="14"/>
                <w:color w:val="auto"/>
              </w:rPr>
              <w:t>480,330</w:t>
            </w:r>
          </w:p>
        </w:tc>
        <w:tc>
          <w:tcPr>
            <w:tcW w:w="880" w:type="dxa"/>
            <w:vAlign w:val="bottom"/>
            <w:vMerge w:val="restart"/>
            <w:shd w:val="clear" w:color="auto" w:fill="E6E6E6"/>
          </w:tcPr>
          <w:p>
            <w:pPr>
              <w:jc w:val="right"/>
              <w:ind w:right="50"/>
              <w:spacing w:after="0"/>
              <w:rPr>
                <w:sz w:val="20"/>
                <w:szCs w:val="20"/>
                <w:color w:val="auto"/>
              </w:rPr>
            </w:pPr>
            <w:r>
              <w:rPr>
                <w:rFonts w:ascii="Arial" w:cs="Arial" w:eastAsia="Arial" w:hAnsi="Arial"/>
                <w:sz w:val="14"/>
                <w:szCs w:val="14"/>
                <w:color w:val="auto"/>
              </w:rPr>
              <w:t>—</w:t>
            </w:r>
          </w:p>
        </w:tc>
        <w:tc>
          <w:tcPr>
            <w:tcW w:w="880" w:type="dxa"/>
            <w:vAlign w:val="bottom"/>
            <w:vMerge w:val="restart"/>
            <w:shd w:val="clear" w:color="auto" w:fill="E6E6E6"/>
          </w:tcPr>
          <w:p>
            <w:pPr>
              <w:jc w:val="right"/>
              <w:ind w:right="50"/>
              <w:spacing w:after="0"/>
              <w:rPr>
                <w:sz w:val="20"/>
                <w:szCs w:val="20"/>
                <w:color w:val="auto"/>
              </w:rPr>
            </w:pPr>
            <w:r>
              <w:rPr>
                <w:rFonts w:ascii="Arial" w:cs="Arial" w:eastAsia="Arial" w:hAnsi="Arial"/>
                <w:sz w:val="14"/>
                <w:szCs w:val="14"/>
                <w:color w:val="auto"/>
              </w:rPr>
              <w:t>232,908</w:t>
            </w:r>
          </w:p>
        </w:tc>
        <w:tc>
          <w:tcPr>
            <w:tcW w:w="820" w:type="dxa"/>
            <w:vAlign w:val="bottom"/>
            <w:vMerge w:val="restart"/>
            <w:shd w:val="clear" w:color="auto" w:fill="E6E6E6"/>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E6E6E6"/>
          </w:tcPr>
          <w:p>
            <w:pPr>
              <w:jc w:val="right"/>
              <w:ind w:right="72"/>
              <w:spacing w:after="0"/>
              <w:rPr>
                <w:sz w:val="20"/>
                <w:szCs w:val="20"/>
                <w:color w:val="auto"/>
              </w:rPr>
            </w:pPr>
            <w:r>
              <w:rPr>
                <w:rFonts w:ascii="Arial" w:cs="Arial" w:eastAsia="Arial" w:hAnsi="Arial"/>
                <w:sz w:val="14"/>
                <w:szCs w:val="14"/>
                <w:color w:val="auto"/>
              </w:rPr>
              <w:t>—</w:t>
            </w:r>
          </w:p>
        </w:tc>
        <w:tc>
          <w:tcPr>
            <w:tcW w:w="1300" w:type="dxa"/>
            <w:vAlign w:val="bottom"/>
            <w:vMerge w:val="restart"/>
            <w:shd w:val="clear" w:color="auto" w:fill="E6E6E6"/>
          </w:tcPr>
          <w:p>
            <w:pPr>
              <w:jc w:val="right"/>
              <w:ind w:right="90"/>
              <w:spacing w:after="0"/>
              <w:rPr>
                <w:sz w:val="20"/>
                <w:szCs w:val="20"/>
                <w:color w:val="auto"/>
              </w:rPr>
            </w:pPr>
            <w:r>
              <w:rPr>
                <w:rFonts w:ascii="Arial" w:cs="Arial" w:eastAsia="Arial" w:hAnsi="Arial"/>
                <w:sz w:val="14"/>
                <w:szCs w:val="14"/>
                <w:color w:val="auto"/>
              </w:rPr>
              <w:t>28,445</w:t>
            </w:r>
          </w:p>
        </w:tc>
        <w:tc>
          <w:tcPr>
            <w:tcW w:w="900" w:type="dxa"/>
            <w:vAlign w:val="bottom"/>
            <w:vMerge w:val="restart"/>
            <w:shd w:val="clear" w:color="auto" w:fill="E6E6E6"/>
          </w:tcPr>
          <w:p>
            <w:pPr>
              <w:jc w:val="right"/>
              <w:ind w:right="30"/>
              <w:spacing w:after="0"/>
              <w:rPr>
                <w:sz w:val="20"/>
                <w:szCs w:val="20"/>
                <w:color w:val="auto"/>
              </w:rPr>
            </w:pPr>
            <w:r>
              <w:rPr>
                <w:rFonts w:ascii="Arial" w:cs="Arial" w:eastAsia="Arial" w:hAnsi="Arial"/>
                <w:sz w:val="14"/>
                <w:szCs w:val="14"/>
                <w:color w:val="auto"/>
              </w:rPr>
              <w:t>741,683</w:t>
            </w:r>
          </w:p>
        </w:tc>
        <w:tc>
          <w:tcPr>
            <w:tcW w:w="0" w:type="dxa"/>
            <w:vAlign w:val="bottom"/>
          </w:tcPr>
          <w:p>
            <w:pPr>
              <w:spacing w:after="0"/>
              <w:rPr>
                <w:sz w:val="1"/>
                <w:szCs w:val="1"/>
                <w:color w:val="auto"/>
              </w:rPr>
            </w:pPr>
          </w:p>
        </w:tc>
      </w:tr>
      <w:tr>
        <w:trPr>
          <w:trHeight w:val="134"/>
        </w:trPr>
        <w:tc>
          <w:tcPr>
            <w:tcW w:w="100" w:type="dxa"/>
            <w:vAlign w:val="bottom"/>
            <w:shd w:val="clear" w:color="auto" w:fill="E6E6E6"/>
          </w:tcPr>
          <w:p>
            <w:pPr>
              <w:spacing w:after="0"/>
              <w:rPr>
                <w:sz w:val="11"/>
                <w:szCs w:val="11"/>
                <w:color w:val="auto"/>
              </w:rPr>
            </w:pPr>
          </w:p>
        </w:tc>
        <w:tc>
          <w:tcPr>
            <w:tcW w:w="1640" w:type="dxa"/>
            <w:vAlign w:val="bottom"/>
            <w:vMerge w:val="restart"/>
            <w:shd w:val="clear" w:color="auto" w:fill="E6E6E6"/>
          </w:tcPr>
          <w:p>
            <w:pPr>
              <w:ind w:left="60"/>
              <w:spacing w:after="0"/>
              <w:rPr>
                <w:sz w:val="20"/>
                <w:szCs w:val="20"/>
                <w:color w:val="auto"/>
              </w:rPr>
            </w:pPr>
            <w:r>
              <w:rPr>
                <w:rFonts w:ascii="Arial" w:cs="Arial" w:eastAsia="Arial" w:hAnsi="Arial"/>
                <w:sz w:val="14"/>
                <w:szCs w:val="14"/>
                <w:i w:val="1"/>
                <w:iCs w:val="1"/>
                <w:color w:val="auto"/>
              </w:rPr>
              <w:t>Resources Officer</w:t>
            </w:r>
          </w:p>
        </w:tc>
        <w:tc>
          <w:tcPr>
            <w:tcW w:w="120" w:type="dxa"/>
            <w:vAlign w:val="bottom"/>
            <w:shd w:val="clear" w:color="auto" w:fill="E6E6E6"/>
          </w:tcPr>
          <w:p>
            <w:pPr>
              <w:spacing w:after="0"/>
              <w:rPr>
                <w:sz w:val="11"/>
                <w:szCs w:val="11"/>
                <w:color w:val="auto"/>
              </w:rPr>
            </w:pPr>
          </w:p>
        </w:tc>
        <w:tc>
          <w:tcPr>
            <w:tcW w:w="460" w:type="dxa"/>
            <w:vAlign w:val="bottom"/>
            <w:vMerge w:val="continue"/>
            <w:shd w:val="clear" w:color="auto" w:fill="E6E6E6"/>
          </w:tcPr>
          <w:p>
            <w:pPr>
              <w:spacing w:after="0"/>
              <w:rPr>
                <w:sz w:val="11"/>
                <w:szCs w:val="11"/>
                <w:color w:val="auto"/>
              </w:rPr>
            </w:pPr>
          </w:p>
        </w:tc>
        <w:tc>
          <w:tcPr>
            <w:tcW w:w="120" w:type="dxa"/>
            <w:vAlign w:val="bottom"/>
            <w:shd w:val="clear" w:color="auto" w:fill="E6E6E6"/>
          </w:tcPr>
          <w:p>
            <w:pPr>
              <w:spacing w:after="0"/>
              <w:rPr>
                <w:sz w:val="11"/>
                <w:szCs w:val="11"/>
                <w:color w:val="auto"/>
              </w:rPr>
            </w:pPr>
          </w:p>
        </w:tc>
        <w:tc>
          <w:tcPr>
            <w:tcW w:w="900" w:type="dxa"/>
            <w:vAlign w:val="bottom"/>
            <w:vMerge w:val="continue"/>
            <w:shd w:val="clear" w:color="auto" w:fill="E6E6E6"/>
          </w:tcPr>
          <w:p>
            <w:pPr>
              <w:spacing w:after="0"/>
              <w:rPr>
                <w:sz w:val="11"/>
                <w:szCs w:val="11"/>
                <w:color w:val="auto"/>
              </w:rPr>
            </w:pPr>
          </w:p>
        </w:tc>
        <w:tc>
          <w:tcPr>
            <w:tcW w:w="880" w:type="dxa"/>
            <w:vAlign w:val="bottom"/>
            <w:vMerge w:val="continue"/>
            <w:shd w:val="clear" w:color="auto" w:fill="E6E6E6"/>
          </w:tcPr>
          <w:p>
            <w:pPr>
              <w:spacing w:after="0"/>
              <w:rPr>
                <w:sz w:val="11"/>
                <w:szCs w:val="11"/>
                <w:color w:val="auto"/>
              </w:rPr>
            </w:pPr>
          </w:p>
        </w:tc>
        <w:tc>
          <w:tcPr>
            <w:tcW w:w="880" w:type="dxa"/>
            <w:vAlign w:val="bottom"/>
            <w:vMerge w:val="continue"/>
            <w:shd w:val="clear" w:color="auto" w:fill="E6E6E6"/>
          </w:tcPr>
          <w:p>
            <w:pPr>
              <w:spacing w:after="0"/>
              <w:rPr>
                <w:sz w:val="11"/>
                <w:szCs w:val="11"/>
                <w:color w:val="auto"/>
              </w:rPr>
            </w:pPr>
          </w:p>
        </w:tc>
        <w:tc>
          <w:tcPr>
            <w:tcW w:w="820" w:type="dxa"/>
            <w:vAlign w:val="bottom"/>
            <w:vMerge w:val="continue"/>
            <w:shd w:val="clear" w:color="auto" w:fill="E6E6E6"/>
          </w:tcPr>
          <w:p>
            <w:pPr>
              <w:spacing w:after="0"/>
              <w:rPr>
                <w:sz w:val="11"/>
                <w:szCs w:val="11"/>
                <w:color w:val="auto"/>
              </w:rPr>
            </w:pPr>
          </w:p>
        </w:tc>
        <w:tc>
          <w:tcPr>
            <w:tcW w:w="1280" w:type="dxa"/>
            <w:vAlign w:val="bottom"/>
            <w:vMerge w:val="continue"/>
            <w:shd w:val="clear" w:color="auto" w:fill="E6E6E6"/>
          </w:tcPr>
          <w:p>
            <w:pPr>
              <w:spacing w:after="0"/>
              <w:rPr>
                <w:sz w:val="11"/>
                <w:szCs w:val="11"/>
                <w:color w:val="auto"/>
              </w:rPr>
            </w:pPr>
          </w:p>
        </w:tc>
        <w:tc>
          <w:tcPr>
            <w:tcW w:w="1300" w:type="dxa"/>
            <w:vAlign w:val="bottom"/>
            <w:vMerge w:val="continue"/>
            <w:shd w:val="clear" w:color="auto" w:fill="E6E6E6"/>
          </w:tcPr>
          <w:p>
            <w:pPr>
              <w:spacing w:after="0"/>
              <w:rPr>
                <w:sz w:val="11"/>
                <w:szCs w:val="11"/>
                <w:color w:val="auto"/>
              </w:rPr>
            </w:pPr>
          </w:p>
        </w:tc>
        <w:tc>
          <w:tcPr>
            <w:tcW w:w="900" w:type="dxa"/>
            <w:vAlign w:val="bottom"/>
            <w:vMerge w:val="continue"/>
            <w:shd w:val="clear" w:color="auto" w:fill="E6E6E6"/>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100" w:type="dxa"/>
            <w:vAlign w:val="bottom"/>
            <w:shd w:val="clear" w:color="auto" w:fill="E6E6E6"/>
          </w:tcPr>
          <w:p>
            <w:pPr>
              <w:spacing w:after="0"/>
              <w:rPr>
                <w:sz w:val="4"/>
                <w:szCs w:val="4"/>
                <w:color w:val="auto"/>
              </w:rPr>
            </w:pPr>
          </w:p>
        </w:tc>
        <w:tc>
          <w:tcPr>
            <w:tcW w:w="1640" w:type="dxa"/>
            <w:vAlign w:val="bottom"/>
            <w:vMerge w:val="continue"/>
            <w:shd w:val="clear" w:color="auto" w:fill="E6E6E6"/>
          </w:tcPr>
          <w:p>
            <w:pPr>
              <w:spacing w:after="0"/>
              <w:rPr>
                <w:sz w:val="4"/>
                <w:szCs w:val="4"/>
                <w:color w:val="auto"/>
              </w:rPr>
            </w:pPr>
          </w:p>
        </w:tc>
        <w:tc>
          <w:tcPr>
            <w:tcW w:w="120" w:type="dxa"/>
            <w:vAlign w:val="bottom"/>
            <w:shd w:val="clear" w:color="auto" w:fill="E6E6E6"/>
          </w:tcPr>
          <w:p>
            <w:pPr>
              <w:spacing w:after="0"/>
              <w:rPr>
                <w:sz w:val="4"/>
                <w:szCs w:val="4"/>
                <w:color w:val="auto"/>
              </w:rPr>
            </w:pPr>
          </w:p>
        </w:tc>
        <w:tc>
          <w:tcPr>
            <w:tcW w:w="460" w:type="dxa"/>
            <w:vAlign w:val="bottom"/>
            <w:shd w:val="clear" w:color="auto" w:fill="E6E6E6"/>
          </w:tcPr>
          <w:p>
            <w:pPr>
              <w:spacing w:after="0"/>
              <w:rPr>
                <w:sz w:val="4"/>
                <w:szCs w:val="4"/>
                <w:color w:val="auto"/>
              </w:rPr>
            </w:pPr>
          </w:p>
        </w:tc>
        <w:tc>
          <w:tcPr>
            <w:tcW w:w="120" w:type="dxa"/>
            <w:vAlign w:val="bottom"/>
            <w:shd w:val="clear" w:color="auto" w:fill="E6E6E6"/>
          </w:tcPr>
          <w:p>
            <w:pPr>
              <w:spacing w:after="0"/>
              <w:rPr>
                <w:sz w:val="4"/>
                <w:szCs w:val="4"/>
                <w:color w:val="auto"/>
              </w:rPr>
            </w:pPr>
          </w:p>
        </w:tc>
        <w:tc>
          <w:tcPr>
            <w:tcW w:w="900" w:type="dxa"/>
            <w:vAlign w:val="bottom"/>
            <w:shd w:val="clear" w:color="auto" w:fill="E6E6E6"/>
          </w:tcPr>
          <w:p>
            <w:pPr>
              <w:spacing w:after="0"/>
              <w:rPr>
                <w:sz w:val="4"/>
                <w:szCs w:val="4"/>
                <w:color w:val="auto"/>
              </w:rPr>
            </w:pPr>
          </w:p>
        </w:tc>
        <w:tc>
          <w:tcPr>
            <w:tcW w:w="880" w:type="dxa"/>
            <w:vAlign w:val="bottom"/>
            <w:shd w:val="clear" w:color="auto" w:fill="E6E6E6"/>
          </w:tcPr>
          <w:p>
            <w:pPr>
              <w:spacing w:after="0"/>
              <w:rPr>
                <w:sz w:val="4"/>
                <w:szCs w:val="4"/>
                <w:color w:val="auto"/>
              </w:rPr>
            </w:pPr>
          </w:p>
        </w:tc>
        <w:tc>
          <w:tcPr>
            <w:tcW w:w="880" w:type="dxa"/>
            <w:vAlign w:val="bottom"/>
            <w:shd w:val="clear" w:color="auto" w:fill="E6E6E6"/>
          </w:tcPr>
          <w:p>
            <w:pPr>
              <w:spacing w:after="0"/>
              <w:rPr>
                <w:sz w:val="4"/>
                <w:szCs w:val="4"/>
                <w:color w:val="auto"/>
              </w:rPr>
            </w:pPr>
          </w:p>
        </w:tc>
        <w:tc>
          <w:tcPr>
            <w:tcW w:w="820" w:type="dxa"/>
            <w:vAlign w:val="bottom"/>
            <w:shd w:val="clear" w:color="auto" w:fill="E6E6E6"/>
          </w:tcPr>
          <w:p>
            <w:pPr>
              <w:spacing w:after="0"/>
              <w:rPr>
                <w:sz w:val="4"/>
                <w:szCs w:val="4"/>
                <w:color w:val="auto"/>
              </w:rPr>
            </w:pPr>
          </w:p>
        </w:tc>
        <w:tc>
          <w:tcPr>
            <w:tcW w:w="1280" w:type="dxa"/>
            <w:vAlign w:val="bottom"/>
            <w:shd w:val="clear" w:color="auto" w:fill="E6E6E6"/>
          </w:tcPr>
          <w:p>
            <w:pPr>
              <w:spacing w:after="0"/>
              <w:rPr>
                <w:sz w:val="4"/>
                <w:szCs w:val="4"/>
                <w:color w:val="auto"/>
              </w:rPr>
            </w:pPr>
          </w:p>
        </w:tc>
        <w:tc>
          <w:tcPr>
            <w:tcW w:w="1300" w:type="dxa"/>
            <w:vAlign w:val="bottom"/>
            <w:shd w:val="clear" w:color="auto" w:fill="E6E6E6"/>
          </w:tcPr>
          <w:p>
            <w:pPr>
              <w:spacing w:after="0"/>
              <w:rPr>
                <w:sz w:val="4"/>
                <w:szCs w:val="4"/>
                <w:color w:val="auto"/>
              </w:rPr>
            </w:pPr>
          </w:p>
        </w:tc>
        <w:tc>
          <w:tcPr>
            <w:tcW w:w="900" w:type="dxa"/>
            <w:vAlign w:val="bottom"/>
            <w:shd w:val="clear" w:color="auto" w:fill="E6E6E6"/>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100" w:type="dxa"/>
            <w:vAlign w:val="bottom"/>
            <w:tcBorders>
              <w:bottom w:val="single" w:sz="8" w:color="E6E6E6"/>
            </w:tcBorders>
            <w:shd w:val="clear" w:color="auto" w:fill="E6E6E6"/>
          </w:tcPr>
          <w:p>
            <w:pPr>
              <w:spacing w:after="0"/>
              <w:rPr>
                <w:sz w:val="23"/>
                <w:szCs w:val="23"/>
                <w:color w:val="auto"/>
              </w:rPr>
            </w:pPr>
          </w:p>
        </w:tc>
        <w:tc>
          <w:tcPr>
            <w:tcW w:w="1640" w:type="dxa"/>
            <w:vAlign w:val="bottom"/>
            <w:tcBorders>
              <w:bottom w:val="single" w:sz="8" w:color="E6E6E6"/>
            </w:tcBorders>
            <w:shd w:val="clear" w:color="auto" w:fill="E6E6E6"/>
          </w:tcPr>
          <w:p>
            <w:pPr>
              <w:spacing w:after="0"/>
              <w:rPr>
                <w:sz w:val="23"/>
                <w:szCs w:val="23"/>
                <w:color w:val="auto"/>
              </w:rPr>
            </w:pPr>
          </w:p>
        </w:tc>
        <w:tc>
          <w:tcPr>
            <w:tcW w:w="120" w:type="dxa"/>
            <w:vAlign w:val="bottom"/>
            <w:tcBorders>
              <w:bottom w:val="single" w:sz="8" w:color="E6E6E6"/>
            </w:tcBorders>
            <w:shd w:val="clear" w:color="auto" w:fill="E6E6E6"/>
          </w:tcPr>
          <w:p>
            <w:pPr>
              <w:spacing w:after="0"/>
              <w:rPr>
                <w:sz w:val="23"/>
                <w:szCs w:val="23"/>
                <w:color w:val="auto"/>
              </w:rPr>
            </w:pPr>
          </w:p>
        </w:tc>
        <w:tc>
          <w:tcPr>
            <w:tcW w:w="4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4"/>
                <w:szCs w:val="14"/>
                <w:color w:val="auto"/>
              </w:rPr>
              <w:t>2024</w:t>
            </w:r>
          </w:p>
        </w:tc>
        <w:tc>
          <w:tcPr>
            <w:tcW w:w="120" w:type="dxa"/>
            <w:vAlign w:val="bottom"/>
            <w:tcBorders>
              <w:bottom w:val="single" w:sz="8" w:color="E6E6E6"/>
            </w:tcBorders>
            <w:shd w:val="clear" w:color="auto" w:fill="E6E6E6"/>
          </w:tcPr>
          <w:p>
            <w:pPr>
              <w:spacing w:after="0"/>
              <w:rPr>
                <w:sz w:val="23"/>
                <w:szCs w:val="23"/>
                <w:color w:val="auto"/>
              </w:rPr>
            </w:pPr>
          </w:p>
        </w:tc>
        <w:tc>
          <w:tcPr>
            <w:tcW w:w="900" w:type="dxa"/>
            <w:vAlign w:val="bottom"/>
            <w:tcBorders>
              <w:bottom w:val="single" w:sz="8" w:color="E6E6E6"/>
            </w:tcBorders>
            <w:shd w:val="clear" w:color="auto" w:fill="E6E6E6"/>
          </w:tcPr>
          <w:p>
            <w:pPr>
              <w:jc w:val="right"/>
              <w:ind w:right="70"/>
              <w:spacing w:after="0"/>
              <w:rPr>
                <w:sz w:val="20"/>
                <w:szCs w:val="20"/>
                <w:color w:val="auto"/>
              </w:rPr>
            </w:pPr>
            <w:r>
              <w:rPr>
                <w:rFonts w:ascii="Arial" w:cs="Arial" w:eastAsia="Arial" w:hAnsi="Arial"/>
                <w:sz w:val="14"/>
                <w:szCs w:val="14"/>
                <w:color w:val="auto"/>
              </w:rPr>
              <w:t>398,077</w:t>
            </w:r>
          </w:p>
        </w:tc>
        <w:tc>
          <w:tcPr>
            <w:tcW w:w="880" w:type="dxa"/>
            <w:vAlign w:val="bottom"/>
            <w:tcBorders>
              <w:bottom w:val="single" w:sz="8" w:color="E6E6E6"/>
            </w:tcBorders>
            <w:shd w:val="clear" w:color="auto" w:fill="E6E6E6"/>
          </w:tcPr>
          <w:p>
            <w:pPr>
              <w:jc w:val="right"/>
              <w:ind w:right="50"/>
              <w:spacing w:after="0"/>
              <w:rPr>
                <w:sz w:val="20"/>
                <w:szCs w:val="20"/>
                <w:color w:val="auto"/>
              </w:rPr>
            </w:pPr>
            <w:r>
              <w:rPr>
                <w:rFonts w:ascii="Arial" w:cs="Arial" w:eastAsia="Arial" w:hAnsi="Arial"/>
                <w:sz w:val="14"/>
                <w:szCs w:val="14"/>
                <w:color w:val="auto"/>
              </w:rPr>
              <w:t>275,000</w:t>
            </w:r>
          </w:p>
        </w:tc>
        <w:tc>
          <w:tcPr>
            <w:tcW w:w="880" w:type="dxa"/>
            <w:vAlign w:val="bottom"/>
            <w:tcBorders>
              <w:bottom w:val="single" w:sz="8" w:color="E6E6E6"/>
            </w:tcBorders>
            <w:shd w:val="clear" w:color="auto" w:fill="E6E6E6"/>
          </w:tcPr>
          <w:p>
            <w:pPr>
              <w:jc w:val="right"/>
              <w:ind w:right="50"/>
              <w:spacing w:after="0"/>
              <w:rPr>
                <w:sz w:val="20"/>
                <w:szCs w:val="20"/>
                <w:color w:val="auto"/>
              </w:rPr>
            </w:pPr>
            <w:r>
              <w:rPr>
                <w:rFonts w:ascii="Arial" w:cs="Arial" w:eastAsia="Arial" w:hAnsi="Arial"/>
                <w:sz w:val="14"/>
                <w:szCs w:val="14"/>
                <w:color w:val="auto"/>
              </w:rPr>
              <w:t>399,996</w:t>
            </w:r>
          </w:p>
        </w:tc>
        <w:tc>
          <w:tcPr>
            <w:tcW w:w="820" w:type="dxa"/>
            <w:vAlign w:val="bottom"/>
            <w:tcBorders>
              <w:bottom w:val="single" w:sz="8" w:color="E6E6E6"/>
            </w:tcBorders>
            <w:shd w:val="clear" w:color="auto" w:fill="E6E6E6"/>
          </w:tcPr>
          <w:p>
            <w:pPr>
              <w:jc w:val="right"/>
              <w:ind w:right="71"/>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E6E6E6"/>
            </w:tcBorders>
            <w:shd w:val="clear" w:color="auto" w:fill="E6E6E6"/>
          </w:tcPr>
          <w:p>
            <w:pPr>
              <w:jc w:val="right"/>
              <w:ind w:right="72"/>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E6E6E6"/>
            </w:tcBorders>
            <w:shd w:val="clear" w:color="auto" w:fill="E6E6E6"/>
          </w:tcPr>
          <w:p>
            <w:pPr>
              <w:jc w:val="right"/>
              <w:ind w:right="90"/>
              <w:spacing w:after="0"/>
              <w:rPr>
                <w:sz w:val="20"/>
                <w:szCs w:val="20"/>
                <w:color w:val="auto"/>
              </w:rPr>
            </w:pPr>
            <w:r>
              <w:rPr>
                <w:rFonts w:ascii="Arial" w:cs="Arial" w:eastAsia="Arial" w:hAnsi="Arial"/>
                <w:sz w:val="14"/>
                <w:szCs w:val="14"/>
                <w:color w:val="auto"/>
              </w:rPr>
              <w:t>23,574</w:t>
            </w:r>
          </w:p>
        </w:tc>
        <w:tc>
          <w:tcPr>
            <w:tcW w:w="900" w:type="dxa"/>
            <w:vAlign w:val="bottom"/>
            <w:tcBorders>
              <w:bottom w:val="single" w:sz="8" w:color="E6E6E6"/>
            </w:tcBorders>
            <w:shd w:val="clear" w:color="auto" w:fill="E6E6E6"/>
          </w:tcPr>
          <w:p>
            <w:pPr>
              <w:jc w:val="right"/>
              <w:ind w:right="30"/>
              <w:spacing w:after="0"/>
              <w:rPr>
                <w:sz w:val="20"/>
                <w:szCs w:val="20"/>
                <w:color w:val="auto"/>
              </w:rPr>
            </w:pPr>
            <w:r>
              <w:rPr>
                <w:rFonts w:ascii="Arial" w:cs="Arial" w:eastAsia="Arial" w:hAnsi="Arial"/>
                <w:sz w:val="14"/>
                <w:szCs w:val="14"/>
                <w:color w:val="auto"/>
              </w:rPr>
              <w:t>1,096,647</w:t>
            </w:r>
          </w:p>
        </w:tc>
        <w:tc>
          <w:tcPr>
            <w:tcW w:w="0" w:type="dxa"/>
            <w:vAlign w:val="bottom"/>
          </w:tcPr>
          <w:p>
            <w:pPr>
              <w:spacing w:after="0"/>
              <w:rPr>
                <w:sz w:val="1"/>
                <w:szCs w:val="1"/>
                <w:color w:val="auto"/>
              </w:rPr>
            </w:pPr>
          </w:p>
        </w:tc>
      </w:tr>
      <w:tr>
        <w:trPr>
          <w:trHeight w:val="20"/>
        </w:trPr>
        <w:tc>
          <w:tcPr>
            <w:tcW w:w="100" w:type="dxa"/>
            <w:vAlign w:val="bottom"/>
            <w:shd w:val="clear" w:color="auto" w:fill="D9BA05"/>
          </w:tcPr>
          <w:p>
            <w:pPr>
              <w:spacing w:after="0" w:line="20" w:lineRule="exact"/>
              <w:rPr>
                <w:sz w:val="1"/>
                <w:szCs w:val="1"/>
                <w:color w:val="auto"/>
              </w:rPr>
            </w:pPr>
          </w:p>
        </w:tc>
        <w:tc>
          <w:tcPr>
            <w:tcW w:w="1640" w:type="dxa"/>
            <w:vAlign w:val="bottom"/>
            <w:shd w:val="clear" w:color="auto" w:fill="D9BA05"/>
          </w:tcPr>
          <w:p>
            <w:pPr>
              <w:spacing w:after="0" w:line="20" w:lineRule="exact"/>
              <w:rPr>
                <w:sz w:val="1"/>
                <w:szCs w:val="1"/>
                <w:color w:val="auto"/>
              </w:rPr>
            </w:pPr>
          </w:p>
        </w:tc>
        <w:tc>
          <w:tcPr>
            <w:tcW w:w="120" w:type="dxa"/>
            <w:vAlign w:val="bottom"/>
            <w:shd w:val="clear" w:color="auto" w:fill="D9BA05"/>
          </w:tcPr>
          <w:p>
            <w:pPr>
              <w:spacing w:after="0" w:line="20" w:lineRule="exact"/>
              <w:rPr>
                <w:sz w:val="1"/>
                <w:szCs w:val="1"/>
                <w:color w:val="auto"/>
              </w:rPr>
            </w:pPr>
          </w:p>
        </w:tc>
        <w:tc>
          <w:tcPr>
            <w:tcW w:w="460" w:type="dxa"/>
            <w:vAlign w:val="bottom"/>
            <w:shd w:val="clear" w:color="auto" w:fill="D9BA05"/>
          </w:tcPr>
          <w:p>
            <w:pPr>
              <w:spacing w:after="0" w:line="20" w:lineRule="exact"/>
              <w:rPr>
                <w:sz w:val="1"/>
                <w:szCs w:val="1"/>
                <w:color w:val="auto"/>
              </w:rPr>
            </w:pPr>
          </w:p>
        </w:tc>
        <w:tc>
          <w:tcPr>
            <w:tcW w:w="120" w:type="dxa"/>
            <w:vAlign w:val="bottom"/>
            <w:shd w:val="clear" w:color="auto" w:fill="D9BA05"/>
          </w:tcPr>
          <w:p>
            <w:pPr>
              <w:spacing w:after="0" w:line="20" w:lineRule="exact"/>
              <w:rPr>
                <w:sz w:val="1"/>
                <w:szCs w:val="1"/>
                <w:color w:val="auto"/>
              </w:rPr>
            </w:pPr>
          </w:p>
        </w:tc>
        <w:tc>
          <w:tcPr>
            <w:tcW w:w="900" w:type="dxa"/>
            <w:vAlign w:val="bottom"/>
            <w:shd w:val="clear" w:color="auto" w:fill="D9BA05"/>
          </w:tcPr>
          <w:p>
            <w:pPr>
              <w:spacing w:after="0" w:line="20" w:lineRule="exact"/>
              <w:rPr>
                <w:sz w:val="1"/>
                <w:szCs w:val="1"/>
                <w:color w:val="auto"/>
              </w:rPr>
            </w:pPr>
          </w:p>
        </w:tc>
        <w:tc>
          <w:tcPr>
            <w:tcW w:w="880" w:type="dxa"/>
            <w:vAlign w:val="bottom"/>
            <w:shd w:val="clear" w:color="auto" w:fill="D9BA05"/>
          </w:tcPr>
          <w:p>
            <w:pPr>
              <w:spacing w:after="0" w:line="20" w:lineRule="exact"/>
              <w:rPr>
                <w:sz w:val="1"/>
                <w:szCs w:val="1"/>
                <w:color w:val="auto"/>
              </w:rPr>
            </w:pPr>
          </w:p>
        </w:tc>
        <w:tc>
          <w:tcPr>
            <w:tcW w:w="880" w:type="dxa"/>
            <w:vAlign w:val="bottom"/>
            <w:shd w:val="clear" w:color="auto" w:fill="D9BA05"/>
          </w:tcPr>
          <w:p>
            <w:pPr>
              <w:spacing w:after="0" w:line="20" w:lineRule="exact"/>
              <w:rPr>
                <w:sz w:val="1"/>
                <w:szCs w:val="1"/>
                <w:color w:val="auto"/>
              </w:rPr>
            </w:pPr>
          </w:p>
        </w:tc>
        <w:tc>
          <w:tcPr>
            <w:tcW w:w="820" w:type="dxa"/>
            <w:vAlign w:val="bottom"/>
            <w:shd w:val="clear" w:color="auto" w:fill="D9BA05"/>
          </w:tcPr>
          <w:p>
            <w:pPr>
              <w:spacing w:after="0" w:line="20" w:lineRule="exact"/>
              <w:rPr>
                <w:sz w:val="1"/>
                <w:szCs w:val="1"/>
                <w:color w:val="auto"/>
              </w:rPr>
            </w:pPr>
          </w:p>
        </w:tc>
        <w:tc>
          <w:tcPr>
            <w:tcW w:w="1280" w:type="dxa"/>
            <w:vAlign w:val="bottom"/>
            <w:shd w:val="clear" w:color="auto" w:fill="D9BA05"/>
          </w:tcPr>
          <w:p>
            <w:pPr>
              <w:spacing w:after="0" w:line="20" w:lineRule="exact"/>
              <w:rPr>
                <w:sz w:val="1"/>
                <w:szCs w:val="1"/>
                <w:color w:val="auto"/>
              </w:rPr>
            </w:pPr>
          </w:p>
        </w:tc>
        <w:tc>
          <w:tcPr>
            <w:tcW w:w="1300" w:type="dxa"/>
            <w:vAlign w:val="bottom"/>
            <w:shd w:val="clear" w:color="auto" w:fill="D9BA05"/>
          </w:tcPr>
          <w:p>
            <w:pPr>
              <w:spacing w:after="0" w:line="20" w:lineRule="exact"/>
              <w:rPr>
                <w:sz w:val="1"/>
                <w:szCs w:val="1"/>
                <w:color w:val="auto"/>
              </w:rPr>
            </w:pPr>
          </w:p>
        </w:tc>
        <w:tc>
          <w:tcPr>
            <w:tcW w:w="900" w:type="dxa"/>
            <w:vAlign w:val="bottom"/>
            <w:shd w:val="clear" w:color="auto" w:fill="D9BA0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40" w:right="20" w:hanging="334"/>
        <w:spacing w:after="0" w:line="225" w:lineRule="auto"/>
        <w:tabs>
          <w:tab w:leader="none" w:pos="340" w:val="left"/>
        </w:tabs>
        <w:numPr>
          <w:ilvl w:val="0"/>
          <w:numId w:val="20"/>
        </w:numPr>
        <w:rPr>
          <w:rFonts w:ascii="Arial" w:cs="Arial" w:eastAsia="Arial" w:hAnsi="Arial"/>
          <w:sz w:val="13"/>
          <w:szCs w:val="13"/>
          <w:color w:val="333333"/>
        </w:rPr>
      </w:pPr>
      <w:r>
        <w:rPr>
          <w:rFonts w:ascii="Arial" w:cs="Arial" w:eastAsia="Arial" w:hAnsi="Arial"/>
          <w:sz w:val="13"/>
          <w:szCs w:val="13"/>
          <w:color w:val="333333"/>
        </w:rPr>
        <w:t>Salary amounts include amounts deferred at the election of the executive under the Company’s DCP and under the 401(k) Plan. Amounts deferred under the DCP are also shown in the NONQUALIFIED DEFERRED COMPENSATION TABLE. Salary amounts reflect salary earned during the Company’s fiscal year, which ends January 31. Because the Company’s payroll is based on a calendar-year reporting cycle, these amounts are derived from Form W-2 wages for the calendar year ended one month prior to the fiscal year end, adjusted to exclude the January payroll from the prior fiscal year and to add back the January payroll from the current fiscal year. Payroll timing differences can impact the year-over-year comparability of salary amounts. See “Compensation Discussion and Analysis—</w:t>
      </w:r>
      <w:r>
        <w:rPr>
          <w:rFonts w:ascii="Arial" w:cs="Arial" w:eastAsia="Arial" w:hAnsi="Arial"/>
          <w:sz w:val="13"/>
          <w:szCs w:val="13"/>
          <w:i w:val="1"/>
          <w:iCs w:val="1"/>
          <w:color w:val="333333"/>
        </w:rPr>
        <w:t>Base Salary</w:t>
      </w:r>
      <w:r>
        <w:rPr>
          <w:rFonts w:ascii="Arial" w:cs="Arial" w:eastAsia="Arial" w:hAnsi="Arial"/>
          <w:sz w:val="13"/>
          <w:szCs w:val="13"/>
          <w:color w:val="333333"/>
        </w:rPr>
        <w:t>” above.</w:t>
      </w:r>
    </w:p>
    <w:p>
      <w:pPr>
        <w:spacing w:after="0" w:line="63" w:lineRule="exact"/>
        <w:rPr>
          <w:rFonts w:ascii="Arial" w:cs="Arial" w:eastAsia="Arial" w:hAnsi="Arial"/>
          <w:sz w:val="13"/>
          <w:szCs w:val="13"/>
          <w:color w:val="333333"/>
        </w:rPr>
      </w:pPr>
    </w:p>
    <w:p>
      <w:pPr>
        <w:ind w:left="340" w:right="60" w:hanging="334"/>
        <w:spacing w:after="0" w:line="223" w:lineRule="auto"/>
        <w:tabs>
          <w:tab w:leader="none" w:pos="340" w:val="left"/>
        </w:tabs>
        <w:numPr>
          <w:ilvl w:val="0"/>
          <w:numId w:val="20"/>
        </w:numPr>
        <w:rPr>
          <w:rFonts w:ascii="Arial" w:cs="Arial" w:eastAsia="Arial" w:hAnsi="Arial"/>
          <w:sz w:val="13"/>
          <w:szCs w:val="13"/>
          <w:color w:val="333333"/>
        </w:rPr>
      </w:pPr>
      <w:r>
        <w:rPr>
          <w:rFonts w:ascii="Arial" w:cs="Arial" w:eastAsia="Arial" w:hAnsi="Arial"/>
          <w:sz w:val="13"/>
          <w:szCs w:val="13"/>
          <w:color w:val="333333"/>
        </w:rPr>
        <w:t>Amounts shown under the “Stock Awards” column and the “Option Awards” column do not reflect compensation actually received by the NEOs. Instead, the dollar value of these awards represents the fair value of the awards on the date of grant calculated in accordance with FASB ASC Topic 718. Assumptions used in calculating these amounts are described in Note 16 to the Company’s audited financial statements for the fiscal year ended January 31, 2026, included in our Annual Report on Form 10-K filed with the SEC on March 19, 2026. The stock and option awards cliff-vest on the third anniversary of the grant date subject to continued employment of the grantee, except that $175,007 of Ms. Kennedy’s fiscal 2024 stock award was a sign-on grant that vested ratably over three years. The fiscal 2024 and 2025 PSUs were subject to performance conditions as described in the STOCK BASED AWARDS table in the applicable year’s proxy statement. Such performance conditions were not satisfied and these PSUs were therefore cancelled.</w:t>
      </w:r>
    </w:p>
    <w:p>
      <w:pPr>
        <w:spacing w:after="0" w:line="67" w:lineRule="exact"/>
        <w:rPr>
          <w:rFonts w:ascii="Arial" w:cs="Arial" w:eastAsia="Arial" w:hAnsi="Arial"/>
          <w:sz w:val="13"/>
          <w:szCs w:val="13"/>
          <w:color w:val="333333"/>
        </w:rPr>
      </w:pPr>
    </w:p>
    <w:p>
      <w:pPr>
        <w:ind w:left="340" w:right="200" w:hanging="334"/>
        <w:spacing w:after="0" w:line="243" w:lineRule="auto"/>
        <w:tabs>
          <w:tab w:leader="none" w:pos="340" w:val="left"/>
        </w:tabs>
        <w:numPr>
          <w:ilvl w:val="0"/>
          <w:numId w:val="20"/>
        </w:numPr>
        <w:rPr>
          <w:rFonts w:ascii="Arial" w:cs="Arial" w:eastAsia="Arial" w:hAnsi="Arial"/>
          <w:sz w:val="13"/>
          <w:szCs w:val="13"/>
          <w:color w:val="333333"/>
        </w:rPr>
      </w:pPr>
      <w:r>
        <w:rPr>
          <w:rFonts w:ascii="Arial" w:cs="Arial" w:eastAsia="Arial" w:hAnsi="Arial"/>
          <w:sz w:val="13"/>
          <w:szCs w:val="13"/>
          <w:color w:val="333333"/>
        </w:rPr>
        <w:t>Represents the annual incentive payments under the Annual Incentive Compensation Plan to the extent that such payments are based on specific performance goals established for the applicable year. Any other annual incentive payments are reported in the “Bonus” column above.</w:t>
      </w:r>
    </w:p>
    <w:p>
      <w:pPr>
        <w:spacing w:after="0" w:line="48" w:lineRule="exact"/>
        <w:rPr>
          <w:rFonts w:ascii="Arial" w:cs="Arial" w:eastAsia="Arial" w:hAnsi="Arial"/>
          <w:sz w:val="13"/>
          <w:szCs w:val="13"/>
          <w:color w:val="333333"/>
        </w:rPr>
      </w:pPr>
    </w:p>
    <w:p>
      <w:pPr>
        <w:ind w:left="340" w:right="60" w:hanging="334"/>
        <w:spacing w:after="0" w:line="223" w:lineRule="auto"/>
        <w:tabs>
          <w:tab w:leader="none" w:pos="340" w:val="left"/>
        </w:tabs>
        <w:numPr>
          <w:ilvl w:val="0"/>
          <w:numId w:val="20"/>
        </w:numPr>
        <w:rPr>
          <w:rFonts w:ascii="Arial" w:cs="Arial" w:eastAsia="Arial" w:hAnsi="Arial"/>
          <w:sz w:val="13"/>
          <w:szCs w:val="13"/>
          <w:color w:val="333333"/>
        </w:rPr>
      </w:pPr>
      <w:r>
        <w:rPr>
          <w:rFonts w:ascii="Arial" w:cs="Arial" w:eastAsia="Arial" w:hAnsi="Arial"/>
          <w:sz w:val="13"/>
          <w:szCs w:val="13"/>
          <w:color w:val="333333"/>
        </w:rPr>
        <w:t>Includes a taxable car allowance and automobile insurance reimbursement of $25,009. Includes $62,846 for premiums paid in respect of certain life insurance policies purchased for Mr. E. Grinberg by the Company. Under his arrangement with the Company, Mr. E. Grinberg is entitled to the cash surrender value in respect of certain of these life insurance policies and his beneficiaries are entitled to the applicable benefit without, in either event, reimbursement to the Company of any premiums paid by the Company under such policies. Includes a $5,400 matching contribution made by the Company for the account of Mr. E. Grinberg under the Company’s 401(k) Plan. Includes matching contributions of $130,000 to his account under the DCP, of which 80% was in cash and 20% was in the form of phantom stock units (valued based on the closing prices of the Company’s Common Stock on the grant dates). These contributions under the DCP are also shown in the NONQUALIFIED DEFERRED COMPENSATION TABLE below.</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Movado Group, Inc.        29</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40" w:right="40" w:hanging="334"/>
        <w:spacing w:after="0" w:line="229" w:lineRule="auto"/>
        <w:tabs>
          <w:tab w:leader="none" w:pos="34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Includes a taxable car allowance of $6,600 and a taxable housing allowance of $25,200. Includes a $5,400 matching contribution made by the Company for the account of Ms. DeMarsilis under the Company’s 401(k) Plan. Includes matching contributions to her account under the DCP totaling $67,275, of which 80% was in cash and 20% was in phantom stock units valued at the closing prices of the Company’s Common Stock on the grant dates. These contributions under the DCP are also shown in the NONQUALIFIED DEFERRED COMPENSATION TABLE below.</w:t>
      </w:r>
    </w:p>
    <w:p>
      <w:pPr>
        <w:spacing w:after="0" w:line="50" w:lineRule="exact"/>
        <w:rPr>
          <w:rFonts w:ascii="Arial" w:cs="Arial" w:eastAsia="Arial" w:hAnsi="Arial"/>
          <w:sz w:val="13"/>
          <w:szCs w:val="13"/>
          <w:color w:val="333333"/>
        </w:rPr>
      </w:pPr>
    </w:p>
    <w:p>
      <w:pPr>
        <w:ind w:left="340" w:right="220" w:hanging="334"/>
        <w:spacing w:after="0" w:line="229" w:lineRule="auto"/>
        <w:tabs>
          <w:tab w:leader="none" w:pos="34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Includes a taxable car allowance of $6,600. Includes a $5,400 matching contribution made by the Company for the account of Mr. Soltani under the Company’s 401(k) Plan. Includes matching contributions to his account under the DCP totaling $37,260, of which 80% was in cash and 20% was in phantom stock units valued at the closing prices of the Company’s Common Stock on the grant dates. These contributions under the DCP are also shown in the NONQUALIFIED DEFERRED COMPENSATION TABLE below.</w:t>
      </w:r>
    </w:p>
    <w:p>
      <w:pPr>
        <w:spacing w:after="0" w:line="63" w:lineRule="exact"/>
        <w:rPr>
          <w:rFonts w:ascii="Arial" w:cs="Arial" w:eastAsia="Arial" w:hAnsi="Arial"/>
          <w:sz w:val="13"/>
          <w:szCs w:val="13"/>
          <w:color w:val="333333"/>
        </w:rPr>
      </w:pPr>
    </w:p>
    <w:p>
      <w:pPr>
        <w:ind w:left="340" w:right="240" w:hanging="334"/>
        <w:spacing w:after="0" w:line="229" w:lineRule="auto"/>
        <w:tabs>
          <w:tab w:leader="none" w:pos="34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Includes a taxable car allowance of $6,600. Includes a $5,400 matching contribution made by the Company for the account of Mr. Sussis under the Company’s 401(k) Plan. Includes matching contributions to his account under the DCP totaling $23,556, of which 80% was in cash and 20% was in phantom stock units valued at the closing prices of the Company’s Common Stock on the grant dates. These contributions under the DCP are also shown in the NONQUALIFIED DEFERRED COMPENSATION TABLE below.</w:t>
      </w:r>
    </w:p>
    <w:p>
      <w:pPr>
        <w:spacing w:after="0" w:line="63" w:lineRule="exact"/>
        <w:rPr>
          <w:rFonts w:ascii="Arial" w:cs="Arial" w:eastAsia="Arial" w:hAnsi="Arial"/>
          <w:sz w:val="13"/>
          <w:szCs w:val="13"/>
          <w:color w:val="333333"/>
        </w:rPr>
      </w:pPr>
    </w:p>
    <w:p>
      <w:pPr>
        <w:ind w:left="340" w:hanging="334"/>
        <w:spacing w:after="0" w:line="229" w:lineRule="auto"/>
        <w:tabs>
          <w:tab w:leader="none" w:pos="340" w:val="left"/>
        </w:tabs>
        <w:numPr>
          <w:ilvl w:val="0"/>
          <w:numId w:val="21"/>
        </w:numPr>
        <w:rPr>
          <w:rFonts w:ascii="Arial" w:cs="Arial" w:eastAsia="Arial" w:hAnsi="Arial"/>
          <w:sz w:val="13"/>
          <w:szCs w:val="13"/>
          <w:color w:val="333333"/>
        </w:rPr>
      </w:pPr>
      <w:r>
        <w:rPr>
          <w:rFonts w:ascii="Arial" w:cs="Arial" w:eastAsia="Arial" w:hAnsi="Arial"/>
          <w:sz w:val="13"/>
          <w:szCs w:val="13"/>
          <w:color w:val="333333"/>
        </w:rPr>
        <w:t>Includes a taxable reimbursement of $37,000 in cross-country relocation expenses. Includes a $5,400 matching contribution made by the Company for the account of Ms. Kennedy under the Company’s 401(k) Plan. Includes matching contributions to her account under the DCP totaling $23,556, of which 80% was in cash and 20% was in phantom stock units valued at the closing prices of the Company’s Common Stock on the grant dates. These contributions under the DCP are also shown in the NONQUALIFIED DEFERRED COMPENSATION TABLE below.</w:t>
      </w:r>
    </w:p>
    <w:p>
      <w:pPr>
        <w:spacing w:after="0" w:line="32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Grants of Plan-Based Awards in Fiscal 2026</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0" w:type="dxa"/>
            <w:vAlign w:val="bottom"/>
          </w:tcPr>
          <w:p>
            <w:pPr>
              <w:jc w:val="right"/>
              <w:ind w:right="175"/>
              <w:spacing w:after="0"/>
              <w:rPr>
                <w:sz w:val="20"/>
                <w:szCs w:val="20"/>
                <w:color w:val="auto"/>
              </w:rPr>
            </w:pPr>
            <w:r>
              <w:rPr>
                <w:rFonts w:ascii="Arial" w:cs="Arial" w:eastAsia="Arial" w:hAnsi="Arial"/>
                <w:sz w:val="13"/>
                <w:szCs w:val="13"/>
                <w:b w:val="1"/>
                <w:bCs w:val="1"/>
                <w:color w:val="auto"/>
              </w:rPr>
              <w:t>ALL OTHER</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56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ESTIMATED</w:t>
            </w:r>
          </w:p>
        </w:tc>
        <w:tc>
          <w:tcPr>
            <w:tcW w:w="1500" w:type="dxa"/>
            <w:vAlign w:val="bottom"/>
            <w:vMerge w:val="restart"/>
          </w:tcPr>
          <w:p>
            <w:pPr>
              <w:jc w:val="right"/>
              <w:ind w:right="193"/>
              <w:spacing w:after="0"/>
              <w:rPr>
                <w:sz w:val="20"/>
                <w:szCs w:val="20"/>
                <w:color w:val="auto"/>
              </w:rPr>
            </w:pPr>
            <w:r>
              <w:rPr>
                <w:rFonts w:ascii="Arial" w:cs="Arial" w:eastAsia="Arial" w:hAnsi="Arial"/>
                <w:sz w:val="13"/>
                <w:szCs w:val="13"/>
                <w:b w:val="1"/>
                <w:bCs w:val="1"/>
                <w:color w:val="auto"/>
              </w:rPr>
              <w:t>ESTIMATED</w:t>
            </w:r>
          </w:p>
        </w:tc>
        <w:tc>
          <w:tcPr>
            <w:tcW w:w="1200" w:type="dxa"/>
            <w:vAlign w:val="bottom"/>
          </w:tcPr>
          <w:p>
            <w:pPr>
              <w:jc w:val="right"/>
              <w:ind w:right="175"/>
              <w:spacing w:after="0" w:line="135" w:lineRule="exact"/>
              <w:rPr>
                <w:sz w:val="20"/>
                <w:szCs w:val="20"/>
                <w:color w:val="auto"/>
              </w:rPr>
            </w:pPr>
            <w:r>
              <w:rPr>
                <w:rFonts w:ascii="Arial" w:cs="Arial" w:eastAsia="Arial" w:hAnsi="Arial"/>
                <w:sz w:val="13"/>
                <w:szCs w:val="13"/>
                <w:b w:val="1"/>
                <w:bCs w:val="1"/>
                <w:color w:val="auto"/>
              </w:rPr>
              <w:t>STOCK</w:t>
            </w:r>
          </w:p>
        </w:tc>
        <w:tc>
          <w:tcPr>
            <w:tcW w:w="1160" w:type="dxa"/>
            <w:vAlign w:val="bottom"/>
            <w:vMerge w:val="restart"/>
          </w:tcPr>
          <w:p>
            <w:pPr>
              <w:jc w:val="right"/>
              <w:ind w:right="54"/>
              <w:spacing w:after="0"/>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500" w:type="dxa"/>
            <w:vAlign w:val="bottom"/>
            <w:vMerge w:val="continue"/>
          </w:tcPr>
          <w:p>
            <w:pPr>
              <w:spacing w:after="0"/>
              <w:rPr>
                <w:sz w:val="11"/>
                <w:szCs w:val="11"/>
                <w:color w:val="auto"/>
              </w:rPr>
            </w:pPr>
          </w:p>
        </w:tc>
        <w:tc>
          <w:tcPr>
            <w:tcW w:w="1200" w:type="dxa"/>
            <w:vAlign w:val="bottom"/>
          </w:tcPr>
          <w:p>
            <w:pPr>
              <w:jc w:val="right"/>
              <w:ind w:right="155"/>
              <w:spacing w:after="0" w:line="135" w:lineRule="exact"/>
              <w:rPr>
                <w:sz w:val="20"/>
                <w:szCs w:val="20"/>
                <w:color w:val="auto"/>
              </w:rPr>
            </w:pPr>
            <w:r>
              <w:rPr>
                <w:rFonts w:ascii="Arial" w:cs="Arial" w:eastAsia="Arial" w:hAnsi="Arial"/>
                <w:sz w:val="13"/>
                <w:szCs w:val="13"/>
                <w:b w:val="1"/>
                <w:bCs w:val="1"/>
                <w:color w:val="auto"/>
              </w:rPr>
              <w:t>AWARDS:</w:t>
            </w: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560" w:type="dxa"/>
            <w:vAlign w:val="bottom"/>
          </w:tcPr>
          <w:p>
            <w:pPr>
              <w:jc w:val="right"/>
              <w:ind w:right="193"/>
              <w:spacing w:after="0" w:line="135" w:lineRule="exact"/>
              <w:rPr>
                <w:sz w:val="20"/>
                <w:szCs w:val="20"/>
                <w:color w:val="auto"/>
              </w:rPr>
            </w:pPr>
            <w:r>
              <w:rPr>
                <w:rFonts w:ascii="Arial" w:cs="Arial" w:eastAsia="Arial" w:hAnsi="Arial"/>
                <w:sz w:val="13"/>
                <w:szCs w:val="13"/>
                <w:b w:val="1"/>
                <w:bCs w:val="1"/>
                <w:color w:val="auto"/>
              </w:rPr>
              <w:t>POSSIBLE</w:t>
            </w:r>
          </w:p>
        </w:tc>
        <w:tc>
          <w:tcPr>
            <w:tcW w:w="1500" w:type="dxa"/>
            <w:vAlign w:val="bottom"/>
          </w:tcPr>
          <w:p>
            <w:pPr>
              <w:jc w:val="right"/>
              <w:ind w:right="193"/>
              <w:spacing w:after="0" w:line="135" w:lineRule="exact"/>
              <w:rPr>
                <w:sz w:val="20"/>
                <w:szCs w:val="20"/>
                <w:color w:val="auto"/>
              </w:rPr>
            </w:pPr>
            <w:r>
              <w:rPr>
                <w:rFonts w:ascii="Arial" w:cs="Arial" w:eastAsia="Arial" w:hAnsi="Arial"/>
                <w:sz w:val="13"/>
                <w:szCs w:val="13"/>
                <w:b w:val="1"/>
                <w:bCs w:val="1"/>
                <w:color w:val="auto"/>
              </w:rPr>
              <w:t>POSSIBLE</w:t>
            </w:r>
          </w:p>
        </w:tc>
        <w:tc>
          <w:tcPr>
            <w:tcW w:w="1200" w:type="dxa"/>
            <w:vAlign w:val="bottom"/>
          </w:tcPr>
          <w:p>
            <w:pPr>
              <w:jc w:val="right"/>
              <w:ind w:right="155"/>
              <w:spacing w:after="0" w:line="135" w:lineRule="exact"/>
              <w:rPr>
                <w:sz w:val="20"/>
                <w:szCs w:val="20"/>
                <w:color w:val="auto"/>
              </w:rPr>
            </w:pPr>
            <w:r>
              <w:rPr>
                <w:rFonts w:ascii="Arial" w:cs="Arial" w:eastAsia="Arial" w:hAnsi="Arial"/>
                <w:sz w:val="13"/>
                <w:szCs w:val="13"/>
                <w:b w:val="1"/>
                <w:bCs w:val="1"/>
                <w:color w:val="auto"/>
              </w:rPr>
              <w:t>NUMBER OF</w:t>
            </w:r>
          </w:p>
        </w:tc>
        <w:tc>
          <w:tcPr>
            <w:tcW w:w="1160" w:type="dxa"/>
            <w:vAlign w:val="bottom"/>
          </w:tcPr>
          <w:p>
            <w:pPr>
              <w:jc w:val="right"/>
              <w:ind w:right="54"/>
              <w:spacing w:after="0" w:line="135" w:lineRule="exact"/>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560" w:type="dxa"/>
            <w:vAlign w:val="bottom"/>
          </w:tcPr>
          <w:p>
            <w:pPr>
              <w:jc w:val="right"/>
              <w:ind w:right="193"/>
              <w:spacing w:after="0" w:line="135" w:lineRule="exact"/>
              <w:rPr>
                <w:sz w:val="20"/>
                <w:szCs w:val="20"/>
                <w:color w:val="auto"/>
              </w:rPr>
            </w:pPr>
            <w:r>
              <w:rPr>
                <w:rFonts w:ascii="Arial" w:cs="Arial" w:eastAsia="Arial" w:hAnsi="Arial"/>
                <w:sz w:val="13"/>
                <w:szCs w:val="13"/>
                <w:b w:val="1"/>
                <w:bCs w:val="1"/>
                <w:color w:val="auto"/>
              </w:rPr>
              <w:t>PAYOUTS UNDER</w:t>
            </w:r>
          </w:p>
        </w:tc>
        <w:tc>
          <w:tcPr>
            <w:tcW w:w="1500" w:type="dxa"/>
            <w:vAlign w:val="bottom"/>
          </w:tcPr>
          <w:p>
            <w:pPr>
              <w:jc w:val="right"/>
              <w:ind w:right="153"/>
              <w:spacing w:after="0" w:line="135" w:lineRule="exact"/>
              <w:rPr>
                <w:sz w:val="20"/>
                <w:szCs w:val="20"/>
                <w:color w:val="auto"/>
              </w:rPr>
            </w:pPr>
            <w:r>
              <w:rPr>
                <w:rFonts w:ascii="Arial" w:cs="Arial" w:eastAsia="Arial" w:hAnsi="Arial"/>
                <w:sz w:val="13"/>
                <w:szCs w:val="13"/>
                <w:b w:val="1"/>
                <w:bCs w:val="1"/>
                <w:color w:val="auto"/>
              </w:rPr>
              <w:t>PAYOUTS UNDER</w:t>
            </w:r>
          </w:p>
        </w:tc>
        <w:tc>
          <w:tcPr>
            <w:tcW w:w="1200" w:type="dxa"/>
            <w:vAlign w:val="bottom"/>
          </w:tcPr>
          <w:p>
            <w:pPr>
              <w:jc w:val="right"/>
              <w:ind w:right="175"/>
              <w:spacing w:after="0" w:line="135" w:lineRule="exact"/>
              <w:rPr>
                <w:sz w:val="20"/>
                <w:szCs w:val="20"/>
                <w:color w:val="auto"/>
              </w:rPr>
            </w:pPr>
            <w:r>
              <w:rPr>
                <w:rFonts w:ascii="Arial" w:cs="Arial" w:eastAsia="Arial" w:hAnsi="Arial"/>
                <w:sz w:val="13"/>
                <w:szCs w:val="13"/>
                <w:b w:val="1"/>
                <w:bCs w:val="1"/>
                <w:color w:val="auto"/>
              </w:rPr>
              <w:t>SHARES OF</w:t>
            </w:r>
          </w:p>
        </w:tc>
        <w:tc>
          <w:tcPr>
            <w:tcW w:w="1160" w:type="dxa"/>
            <w:vAlign w:val="bottom"/>
          </w:tcPr>
          <w:p>
            <w:pPr>
              <w:jc w:val="right"/>
              <w:ind w:right="94"/>
              <w:spacing w:after="0" w:line="135" w:lineRule="exact"/>
              <w:rPr>
                <w:sz w:val="20"/>
                <w:szCs w:val="20"/>
                <w:color w:val="auto"/>
              </w:rPr>
            </w:pPr>
            <w:r>
              <w:rPr>
                <w:rFonts w:ascii="Arial" w:cs="Arial" w:eastAsia="Arial" w:hAnsi="Arial"/>
                <w:sz w:val="13"/>
                <w:szCs w:val="13"/>
                <w:b w:val="1"/>
                <w:bCs w:val="1"/>
                <w:color w:val="auto"/>
              </w:rPr>
              <w:t>OF STOCK</w:t>
            </w:r>
          </w:p>
        </w:tc>
        <w:tc>
          <w:tcPr>
            <w:tcW w:w="0" w:type="dxa"/>
            <w:vAlign w:val="bottom"/>
          </w:tcPr>
          <w:p>
            <w:pPr>
              <w:spacing w:after="0"/>
              <w:rPr>
                <w:sz w:val="1"/>
                <w:szCs w:val="1"/>
                <w:color w:val="auto"/>
              </w:rPr>
            </w:pPr>
          </w:p>
        </w:tc>
      </w:tr>
      <w:tr>
        <w:trPr>
          <w:trHeight w:val="166"/>
        </w:trPr>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160" w:type="dxa"/>
            <w:vAlign w:val="bottom"/>
            <w:vMerge w:val="restart"/>
          </w:tcPr>
          <w:p>
            <w:pPr>
              <w:jc w:val="right"/>
              <w:ind w:right="171"/>
              <w:spacing w:after="0"/>
              <w:rPr>
                <w:sz w:val="20"/>
                <w:szCs w:val="20"/>
                <w:color w:val="auto"/>
              </w:rPr>
            </w:pPr>
            <w:r>
              <w:rPr>
                <w:rFonts w:ascii="Arial" w:cs="Arial" w:eastAsia="Arial" w:hAnsi="Arial"/>
                <w:sz w:val="13"/>
                <w:szCs w:val="13"/>
                <w:b w:val="1"/>
                <w:bCs w:val="1"/>
                <w:color w:val="auto"/>
              </w:rPr>
              <w:t>GRANT</w:t>
            </w:r>
          </w:p>
        </w:tc>
        <w:tc>
          <w:tcPr>
            <w:tcW w:w="1200" w:type="dxa"/>
            <w:vAlign w:val="bottom"/>
          </w:tcPr>
          <w:p>
            <w:pPr>
              <w:jc w:val="right"/>
              <w:ind w:right="191"/>
              <w:spacing w:after="0"/>
              <w:rPr>
                <w:sz w:val="20"/>
                <w:szCs w:val="20"/>
                <w:color w:val="auto"/>
              </w:rPr>
            </w:pPr>
            <w:r>
              <w:rPr>
                <w:rFonts w:ascii="Arial" w:cs="Arial" w:eastAsia="Arial" w:hAnsi="Arial"/>
                <w:sz w:val="13"/>
                <w:szCs w:val="13"/>
                <w:b w:val="1"/>
                <w:bCs w:val="1"/>
                <w:color w:val="auto"/>
              </w:rPr>
              <w:t>DATE OF</w:t>
            </w:r>
          </w:p>
        </w:tc>
        <w:tc>
          <w:tcPr>
            <w:tcW w:w="1560" w:type="dxa"/>
            <w:vAlign w:val="bottom"/>
          </w:tcPr>
          <w:p>
            <w:pPr>
              <w:jc w:val="right"/>
              <w:ind w:right="193"/>
              <w:spacing w:after="0"/>
              <w:rPr>
                <w:sz w:val="20"/>
                <w:szCs w:val="20"/>
                <w:color w:val="auto"/>
              </w:rPr>
            </w:pPr>
            <w:r>
              <w:rPr>
                <w:rFonts w:ascii="Arial" w:cs="Arial" w:eastAsia="Arial" w:hAnsi="Arial"/>
                <w:sz w:val="13"/>
                <w:szCs w:val="13"/>
                <w:b w:val="1"/>
                <w:bCs w:val="1"/>
                <w:color w:val="auto"/>
              </w:rPr>
              <w:t>NON-EQUITY</w:t>
            </w:r>
          </w:p>
        </w:tc>
        <w:tc>
          <w:tcPr>
            <w:tcW w:w="1500" w:type="dxa"/>
            <w:vAlign w:val="bottom"/>
          </w:tcPr>
          <w:p>
            <w:pPr>
              <w:jc w:val="right"/>
              <w:ind w:right="193"/>
              <w:spacing w:after="0"/>
              <w:rPr>
                <w:sz w:val="20"/>
                <w:szCs w:val="20"/>
                <w:color w:val="auto"/>
              </w:rPr>
            </w:pPr>
            <w:r>
              <w:rPr>
                <w:rFonts w:ascii="Arial" w:cs="Arial" w:eastAsia="Arial" w:hAnsi="Arial"/>
                <w:sz w:val="13"/>
                <w:szCs w:val="13"/>
                <w:b w:val="1"/>
                <w:bCs w:val="1"/>
                <w:color w:val="auto"/>
              </w:rPr>
              <w:t>EQUITY</w:t>
            </w:r>
          </w:p>
        </w:tc>
        <w:tc>
          <w:tcPr>
            <w:tcW w:w="1200" w:type="dxa"/>
            <w:vAlign w:val="bottom"/>
          </w:tcPr>
          <w:p>
            <w:pPr>
              <w:jc w:val="right"/>
              <w:ind w:right="175"/>
              <w:spacing w:after="0"/>
              <w:rPr>
                <w:sz w:val="20"/>
                <w:szCs w:val="20"/>
                <w:color w:val="auto"/>
              </w:rPr>
            </w:pPr>
            <w:r>
              <w:rPr>
                <w:rFonts w:ascii="Arial" w:cs="Arial" w:eastAsia="Arial" w:hAnsi="Arial"/>
                <w:sz w:val="13"/>
                <w:szCs w:val="13"/>
                <w:b w:val="1"/>
                <w:bCs w:val="1"/>
                <w:color w:val="auto"/>
              </w:rPr>
              <w:t>STOCK</w:t>
            </w:r>
          </w:p>
        </w:tc>
        <w:tc>
          <w:tcPr>
            <w:tcW w:w="1160" w:type="dxa"/>
            <w:vAlign w:val="bottom"/>
          </w:tcPr>
          <w:p>
            <w:pPr>
              <w:jc w:val="right"/>
              <w:ind w:right="54"/>
              <w:spacing w:after="0"/>
              <w:rPr>
                <w:sz w:val="20"/>
                <w:szCs w:val="20"/>
                <w:color w:val="auto"/>
              </w:rPr>
            </w:pPr>
            <w:r>
              <w:rPr>
                <w:rFonts w:ascii="Arial" w:cs="Arial" w:eastAsia="Arial" w:hAnsi="Arial"/>
                <w:sz w:val="13"/>
                <w:szCs w:val="13"/>
                <w:b w:val="1"/>
                <w:bCs w:val="1"/>
                <w:color w:val="auto"/>
              </w:rPr>
              <w:t>AND OPTION</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5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NAME</w:t>
            </w:r>
          </w:p>
        </w:tc>
        <w:tc>
          <w:tcPr>
            <w:tcW w:w="1160" w:type="dxa"/>
            <w:vAlign w:val="bottom"/>
            <w:vMerge w:val="continue"/>
          </w:tcPr>
          <w:p>
            <w:pPr>
              <w:spacing w:after="0"/>
              <w:rPr>
                <w:sz w:val="11"/>
                <w:szCs w:val="11"/>
                <w:color w:val="auto"/>
              </w:rPr>
            </w:pPr>
          </w:p>
        </w:tc>
        <w:tc>
          <w:tcPr>
            <w:tcW w:w="1200" w:type="dxa"/>
            <w:vAlign w:val="bottom"/>
          </w:tcPr>
          <w:p>
            <w:pPr>
              <w:jc w:val="right"/>
              <w:ind w:right="191"/>
              <w:spacing w:after="0" w:line="135" w:lineRule="exact"/>
              <w:rPr>
                <w:sz w:val="20"/>
                <w:szCs w:val="20"/>
                <w:color w:val="auto"/>
              </w:rPr>
            </w:pPr>
            <w:r>
              <w:rPr>
                <w:rFonts w:ascii="Arial" w:cs="Arial" w:eastAsia="Arial" w:hAnsi="Arial"/>
                <w:sz w:val="13"/>
                <w:szCs w:val="13"/>
                <w:b w:val="1"/>
                <w:bCs w:val="1"/>
                <w:color w:val="auto"/>
              </w:rPr>
              <w:t>ACTION BY</w:t>
            </w:r>
          </w:p>
        </w:tc>
        <w:tc>
          <w:tcPr>
            <w:tcW w:w="1560" w:type="dxa"/>
            <w:vAlign w:val="bottom"/>
          </w:tcPr>
          <w:p>
            <w:pPr>
              <w:jc w:val="right"/>
              <w:ind w:right="193"/>
              <w:spacing w:after="0" w:line="135" w:lineRule="exact"/>
              <w:rPr>
                <w:sz w:val="20"/>
                <w:szCs w:val="20"/>
                <w:color w:val="auto"/>
              </w:rPr>
            </w:pPr>
            <w:r>
              <w:rPr>
                <w:rFonts w:ascii="Arial" w:cs="Arial" w:eastAsia="Arial" w:hAnsi="Arial"/>
                <w:sz w:val="13"/>
                <w:szCs w:val="13"/>
                <w:b w:val="1"/>
                <w:bCs w:val="1"/>
                <w:color w:val="auto"/>
              </w:rPr>
              <w:t>INCENTIVE</w:t>
            </w:r>
          </w:p>
        </w:tc>
        <w:tc>
          <w:tcPr>
            <w:tcW w:w="1500" w:type="dxa"/>
            <w:vAlign w:val="bottom"/>
          </w:tcPr>
          <w:p>
            <w:pPr>
              <w:jc w:val="right"/>
              <w:ind w:right="193"/>
              <w:spacing w:after="0" w:line="135" w:lineRule="exact"/>
              <w:rPr>
                <w:sz w:val="20"/>
                <w:szCs w:val="20"/>
                <w:color w:val="auto"/>
              </w:rPr>
            </w:pPr>
            <w:r>
              <w:rPr>
                <w:rFonts w:ascii="Arial" w:cs="Arial" w:eastAsia="Arial" w:hAnsi="Arial"/>
                <w:sz w:val="13"/>
                <w:szCs w:val="13"/>
                <w:b w:val="1"/>
                <w:bCs w:val="1"/>
                <w:color w:val="auto"/>
              </w:rPr>
              <w:t>INCENTIVE</w:t>
            </w:r>
          </w:p>
        </w:tc>
        <w:tc>
          <w:tcPr>
            <w:tcW w:w="1200" w:type="dxa"/>
            <w:vAlign w:val="bottom"/>
          </w:tcPr>
          <w:p>
            <w:pPr>
              <w:jc w:val="right"/>
              <w:ind w:right="155"/>
              <w:spacing w:after="0" w:line="135" w:lineRule="exact"/>
              <w:rPr>
                <w:sz w:val="20"/>
                <w:szCs w:val="20"/>
                <w:color w:val="auto"/>
              </w:rPr>
            </w:pPr>
            <w:r>
              <w:rPr>
                <w:rFonts w:ascii="Arial" w:cs="Arial" w:eastAsia="Arial" w:hAnsi="Arial"/>
                <w:sz w:val="13"/>
                <w:szCs w:val="13"/>
                <w:b w:val="1"/>
                <w:bCs w:val="1"/>
                <w:color w:val="auto"/>
              </w:rPr>
              <w:t>OR UNITS</w:t>
            </w:r>
          </w:p>
        </w:tc>
        <w:tc>
          <w:tcPr>
            <w:tcW w:w="1160" w:type="dxa"/>
            <w:vAlign w:val="bottom"/>
          </w:tcPr>
          <w:p>
            <w:pPr>
              <w:jc w:val="right"/>
              <w:ind w:right="94"/>
              <w:spacing w:after="0" w:line="135" w:lineRule="exact"/>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243"/>
        </w:trPr>
        <w:tc>
          <w:tcPr>
            <w:tcW w:w="120" w:type="dxa"/>
            <w:vAlign w:val="bottom"/>
            <w:tcBorders>
              <w:bottom w:val="single" w:sz="8" w:color="D9BA05"/>
            </w:tcBorders>
          </w:tcPr>
          <w:p>
            <w:pPr>
              <w:spacing w:after="0"/>
              <w:rPr>
                <w:sz w:val="21"/>
                <w:szCs w:val="21"/>
                <w:color w:val="auto"/>
              </w:rPr>
            </w:pPr>
          </w:p>
        </w:tc>
        <w:tc>
          <w:tcPr>
            <w:tcW w:w="1500" w:type="dxa"/>
            <w:vAlign w:val="bottom"/>
            <w:tcBorders>
              <w:bottom w:val="single" w:sz="8" w:color="D9BA05"/>
            </w:tcBorders>
            <w:vMerge w:val="continue"/>
          </w:tcPr>
          <w:p>
            <w:pPr>
              <w:spacing w:after="0"/>
              <w:rPr>
                <w:sz w:val="21"/>
                <w:szCs w:val="21"/>
                <w:color w:val="auto"/>
              </w:rPr>
            </w:pPr>
          </w:p>
        </w:tc>
        <w:tc>
          <w:tcPr>
            <w:tcW w:w="1160" w:type="dxa"/>
            <w:vAlign w:val="bottom"/>
            <w:tcBorders>
              <w:bottom w:val="single" w:sz="8" w:color="D9BA05"/>
            </w:tcBorders>
          </w:tcPr>
          <w:p>
            <w:pPr>
              <w:jc w:val="right"/>
              <w:ind w:right="131"/>
              <w:spacing w:after="0"/>
              <w:rPr>
                <w:sz w:val="20"/>
                <w:szCs w:val="20"/>
                <w:color w:val="auto"/>
              </w:rPr>
            </w:pPr>
            <w:r>
              <w:rPr>
                <w:rFonts w:ascii="Arial" w:cs="Arial" w:eastAsia="Arial" w:hAnsi="Arial"/>
                <w:sz w:val="13"/>
                <w:szCs w:val="13"/>
                <w:b w:val="1"/>
                <w:bCs w:val="1"/>
                <w:color w:val="auto"/>
              </w:rPr>
              <w:t>DATE</w:t>
            </w:r>
          </w:p>
        </w:tc>
        <w:tc>
          <w:tcPr>
            <w:tcW w:w="1200" w:type="dxa"/>
            <w:vAlign w:val="bottom"/>
            <w:tcBorders>
              <w:bottom w:val="single" w:sz="8" w:color="D9BA05"/>
            </w:tcBorders>
          </w:tcPr>
          <w:p>
            <w:pPr>
              <w:jc w:val="right"/>
              <w:ind w:right="151"/>
              <w:spacing w:after="0"/>
              <w:rPr>
                <w:sz w:val="20"/>
                <w:szCs w:val="20"/>
                <w:color w:val="auto"/>
              </w:rPr>
            </w:pPr>
            <w:r>
              <w:rPr>
                <w:rFonts w:ascii="Arial" w:cs="Arial" w:eastAsia="Arial" w:hAnsi="Arial"/>
                <w:sz w:val="13"/>
                <w:szCs w:val="13"/>
                <w:b w:val="1"/>
                <w:bCs w:val="1"/>
                <w:color w:val="auto"/>
              </w:rPr>
              <w:t>COMMITTEE</w:t>
            </w:r>
          </w:p>
        </w:tc>
        <w:tc>
          <w:tcPr>
            <w:tcW w:w="1560" w:type="dxa"/>
            <w:vAlign w:val="bottom"/>
            <w:tcBorders>
              <w:bottom w:val="single" w:sz="8" w:color="D9BA05"/>
            </w:tcBorders>
          </w:tcPr>
          <w:p>
            <w:pPr>
              <w:jc w:val="right"/>
              <w:ind w:right="153"/>
              <w:spacing w:after="0"/>
              <w:rPr>
                <w:sz w:val="20"/>
                <w:szCs w:val="20"/>
                <w:color w:val="auto"/>
              </w:rPr>
            </w:pPr>
            <w:r>
              <w:rPr>
                <w:rFonts w:ascii="Arial" w:cs="Arial" w:eastAsia="Arial" w:hAnsi="Arial"/>
                <w:sz w:val="13"/>
                <w:szCs w:val="13"/>
                <w:b w:val="1"/>
                <w:bCs w:val="1"/>
                <w:color w:val="auto"/>
              </w:rPr>
              <w:t>PLAN AWARDS</w:t>
            </w:r>
            <w:r>
              <w:rPr>
                <w:rFonts w:ascii="Arial" w:cs="Arial" w:eastAsia="Arial" w:hAnsi="Arial"/>
                <w:sz w:val="20"/>
                <w:szCs w:val="20"/>
                <w:b w:val="1"/>
                <w:bCs w:val="1"/>
                <w:color w:val="auto"/>
                <w:vertAlign w:val="superscript"/>
              </w:rPr>
              <w:t>(1)</w:t>
            </w:r>
          </w:p>
        </w:tc>
        <w:tc>
          <w:tcPr>
            <w:tcW w:w="1500" w:type="dxa"/>
            <w:vAlign w:val="bottom"/>
            <w:tcBorders>
              <w:bottom w:val="single" w:sz="8" w:color="D9BA05"/>
            </w:tcBorders>
          </w:tcPr>
          <w:p>
            <w:pPr>
              <w:jc w:val="right"/>
              <w:ind w:right="153"/>
              <w:spacing w:after="0"/>
              <w:rPr>
                <w:sz w:val="20"/>
                <w:szCs w:val="20"/>
                <w:color w:val="auto"/>
              </w:rPr>
            </w:pPr>
            <w:r>
              <w:rPr>
                <w:rFonts w:ascii="Arial" w:cs="Arial" w:eastAsia="Arial" w:hAnsi="Arial"/>
                <w:sz w:val="13"/>
                <w:szCs w:val="13"/>
                <w:b w:val="1"/>
                <w:bCs w:val="1"/>
                <w:color w:val="auto"/>
              </w:rPr>
              <w:t>PLAN AWARDS</w:t>
            </w:r>
            <w:r>
              <w:rPr>
                <w:rFonts w:ascii="Arial" w:cs="Arial" w:eastAsia="Arial" w:hAnsi="Arial"/>
                <w:sz w:val="20"/>
                <w:szCs w:val="20"/>
                <w:b w:val="1"/>
                <w:bCs w:val="1"/>
                <w:color w:val="auto"/>
                <w:vertAlign w:val="superscript"/>
              </w:rPr>
              <w:t>(2)</w:t>
            </w:r>
          </w:p>
        </w:tc>
        <w:tc>
          <w:tcPr>
            <w:tcW w:w="1200" w:type="dxa"/>
            <w:vAlign w:val="bottom"/>
            <w:tcBorders>
              <w:bottom w:val="single" w:sz="8" w:color="D9BA05"/>
            </w:tcBorders>
          </w:tcPr>
          <w:p>
            <w:pPr>
              <w:jc w:val="right"/>
              <w:ind w:right="155"/>
              <w:spacing w:after="0" w:line="242"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(3)</w:t>
            </w:r>
          </w:p>
        </w:tc>
        <w:tc>
          <w:tcPr>
            <w:tcW w:w="1160" w:type="dxa"/>
            <w:vAlign w:val="bottom"/>
            <w:tcBorders>
              <w:bottom w:val="single" w:sz="8" w:color="D9BA05"/>
            </w:tcBorders>
          </w:tcPr>
          <w:p>
            <w:pPr>
              <w:jc w:val="right"/>
              <w:ind w:right="54"/>
              <w:spacing w:after="0" w:line="242"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(4)</w:t>
            </w: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1500" w:type="dxa"/>
            <w:vAlign w:val="bottom"/>
          </w:tcPr>
          <w:p>
            <w:pPr>
              <w:ind w:left="40"/>
              <w:spacing w:after="0"/>
              <w:rPr>
                <w:sz w:val="20"/>
                <w:szCs w:val="20"/>
                <w:color w:val="auto"/>
              </w:rPr>
            </w:pPr>
            <w:r>
              <w:rPr>
                <w:rFonts w:ascii="Arial" w:cs="Arial" w:eastAsia="Arial" w:hAnsi="Arial"/>
                <w:sz w:val="13"/>
                <w:szCs w:val="13"/>
                <w:b w:val="1"/>
                <w:bCs w:val="1"/>
                <w:color w:val="auto"/>
              </w:rPr>
              <w:t>(A)</w:t>
            </w:r>
          </w:p>
        </w:tc>
        <w:tc>
          <w:tcPr>
            <w:tcW w:w="1160" w:type="dxa"/>
            <w:vAlign w:val="bottom"/>
          </w:tcPr>
          <w:p>
            <w:pPr>
              <w:jc w:val="right"/>
              <w:ind w:right="131"/>
              <w:spacing w:after="0"/>
              <w:rPr>
                <w:sz w:val="20"/>
                <w:szCs w:val="20"/>
                <w:color w:val="auto"/>
              </w:rPr>
            </w:pPr>
            <w:r>
              <w:rPr>
                <w:rFonts w:ascii="Arial" w:cs="Arial" w:eastAsia="Arial" w:hAnsi="Arial"/>
                <w:sz w:val="13"/>
                <w:szCs w:val="13"/>
                <w:b w:val="1"/>
                <w:bCs w:val="1"/>
                <w:color w:val="auto"/>
              </w:rPr>
              <w:t>(B)</w:t>
            </w:r>
          </w:p>
        </w:tc>
        <w:tc>
          <w:tcPr>
            <w:tcW w:w="1200" w:type="dxa"/>
            <w:vAlign w:val="bottom"/>
          </w:tcPr>
          <w:p>
            <w:pPr>
              <w:spacing w:after="0"/>
              <w:rPr>
                <w:sz w:val="18"/>
                <w:szCs w:val="18"/>
                <w:color w:val="auto"/>
              </w:rPr>
            </w:pPr>
          </w:p>
        </w:tc>
        <w:tc>
          <w:tcPr>
            <w:tcW w:w="1560" w:type="dxa"/>
            <w:vAlign w:val="bottom"/>
          </w:tcPr>
          <w:p>
            <w:pPr>
              <w:jc w:val="right"/>
              <w:ind w:right="153"/>
              <w:spacing w:after="0"/>
              <w:rPr>
                <w:sz w:val="20"/>
                <w:szCs w:val="20"/>
                <w:color w:val="auto"/>
              </w:rPr>
            </w:pPr>
            <w:r>
              <w:rPr>
                <w:rFonts w:ascii="Arial" w:cs="Arial" w:eastAsia="Arial" w:hAnsi="Arial"/>
                <w:sz w:val="13"/>
                <w:szCs w:val="13"/>
                <w:b w:val="1"/>
                <w:bCs w:val="1"/>
                <w:color w:val="auto"/>
              </w:rPr>
              <w:t>(D)</w:t>
            </w:r>
          </w:p>
        </w:tc>
        <w:tc>
          <w:tcPr>
            <w:tcW w:w="1500" w:type="dxa"/>
            <w:vAlign w:val="bottom"/>
          </w:tcPr>
          <w:p>
            <w:pPr>
              <w:jc w:val="right"/>
              <w:ind w:right="153"/>
              <w:spacing w:after="0"/>
              <w:rPr>
                <w:sz w:val="20"/>
                <w:szCs w:val="20"/>
                <w:color w:val="auto"/>
              </w:rPr>
            </w:pPr>
            <w:r>
              <w:rPr>
                <w:rFonts w:ascii="Arial" w:cs="Arial" w:eastAsia="Arial" w:hAnsi="Arial"/>
                <w:sz w:val="13"/>
                <w:szCs w:val="13"/>
                <w:b w:val="1"/>
                <w:bCs w:val="1"/>
                <w:color w:val="auto"/>
              </w:rPr>
              <w:t>(G)</w:t>
            </w:r>
          </w:p>
        </w:tc>
        <w:tc>
          <w:tcPr>
            <w:tcW w:w="1200" w:type="dxa"/>
            <w:vAlign w:val="bottom"/>
          </w:tcPr>
          <w:p>
            <w:pPr>
              <w:jc w:val="right"/>
              <w:ind w:right="155"/>
              <w:spacing w:after="0"/>
              <w:rPr>
                <w:sz w:val="20"/>
                <w:szCs w:val="20"/>
                <w:color w:val="auto"/>
              </w:rPr>
            </w:pPr>
            <w:r>
              <w:rPr>
                <w:rFonts w:ascii="Arial" w:cs="Arial" w:eastAsia="Arial" w:hAnsi="Arial"/>
                <w:sz w:val="13"/>
                <w:szCs w:val="13"/>
                <w:b w:val="1"/>
                <w:bCs w:val="1"/>
                <w:color w:val="auto"/>
              </w:rPr>
              <w:t>(I)</w:t>
            </w:r>
          </w:p>
        </w:tc>
        <w:tc>
          <w:tcPr>
            <w:tcW w:w="1160" w:type="dxa"/>
            <w:vAlign w:val="bottom"/>
          </w:tcPr>
          <w:p>
            <w:pPr>
              <w:jc w:val="right"/>
              <w:ind w:right="54"/>
              <w:spacing w:after="0"/>
              <w:rPr>
                <w:sz w:val="20"/>
                <w:szCs w:val="20"/>
                <w:color w:val="auto"/>
              </w:rPr>
            </w:pPr>
            <w:r>
              <w:rPr>
                <w:rFonts w:ascii="Arial" w:cs="Arial" w:eastAsia="Arial" w:hAnsi="Arial"/>
                <w:sz w:val="13"/>
                <w:szCs w:val="13"/>
                <w:b w:val="1"/>
                <w:bCs w:val="1"/>
                <w:color w:val="auto"/>
              </w:rPr>
              <w:t>(L)</w:t>
            </w:r>
          </w:p>
        </w:tc>
        <w:tc>
          <w:tcPr>
            <w:tcW w:w="0" w:type="dxa"/>
            <w:vAlign w:val="bottom"/>
          </w:tcPr>
          <w:p>
            <w:pPr>
              <w:spacing w:after="0"/>
              <w:rPr>
                <w:sz w:val="1"/>
                <w:szCs w:val="1"/>
                <w:color w:val="auto"/>
              </w:rPr>
            </w:pPr>
          </w:p>
        </w:tc>
      </w:tr>
      <w:tr>
        <w:trPr>
          <w:trHeight w:val="62"/>
        </w:trPr>
        <w:tc>
          <w:tcPr>
            <w:tcW w:w="120" w:type="dxa"/>
            <w:vAlign w:val="bottom"/>
            <w:tcBorders>
              <w:bottom w:val="single" w:sz="8" w:color="D9BA05"/>
            </w:tcBorders>
          </w:tcPr>
          <w:p>
            <w:pPr>
              <w:spacing w:after="0"/>
              <w:rPr>
                <w:sz w:val="5"/>
                <w:szCs w:val="5"/>
                <w:color w:val="auto"/>
              </w:rPr>
            </w:pPr>
          </w:p>
        </w:tc>
        <w:tc>
          <w:tcPr>
            <w:tcW w:w="1500" w:type="dxa"/>
            <w:vAlign w:val="bottom"/>
            <w:tcBorders>
              <w:bottom w:val="single" w:sz="8" w:color="D9BA05"/>
            </w:tcBorders>
          </w:tcPr>
          <w:p>
            <w:pPr>
              <w:spacing w:after="0"/>
              <w:rPr>
                <w:sz w:val="5"/>
                <w:szCs w:val="5"/>
                <w:color w:val="auto"/>
              </w:rPr>
            </w:pPr>
          </w:p>
        </w:tc>
        <w:tc>
          <w:tcPr>
            <w:tcW w:w="1160" w:type="dxa"/>
            <w:vAlign w:val="bottom"/>
            <w:tcBorders>
              <w:bottom w:val="single" w:sz="8" w:color="D9BA05"/>
            </w:tcBorders>
          </w:tcPr>
          <w:p>
            <w:pPr>
              <w:spacing w:after="0"/>
              <w:rPr>
                <w:sz w:val="5"/>
                <w:szCs w:val="5"/>
                <w:color w:val="auto"/>
              </w:rPr>
            </w:pPr>
          </w:p>
        </w:tc>
        <w:tc>
          <w:tcPr>
            <w:tcW w:w="1200" w:type="dxa"/>
            <w:vAlign w:val="bottom"/>
            <w:tcBorders>
              <w:bottom w:val="single" w:sz="8" w:color="D9BA05"/>
            </w:tcBorders>
          </w:tcPr>
          <w:p>
            <w:pPr>
              <w:spacing w:after="0"/>
              <w:rPr>
                <w:sz w:val="5"/>
                <w:szCs w:val="5"/>
                <w:color w:val="auto"/>
              </w:rPr>
            </w:pPr>
          </w:p>
        </w:tc>
        <w:tc>
          <w:tcPr>
            <w:tcW w:w="1560" w:type="dxa"/>
            <w:vAlign w:val="bottom"/>
            <w:tcBorders>
              <w:bottom w:val="single" w:sz="8" w:color="D9BA05"/>
            </w:tcBorders>
          </w:tcPr>
          <w:p>
            <w:pPr>
              <w:spacing w:after="0"/>
              <w:rPr>
                <w:sz w:val="5"/>
                <w:szCs w:val="5"/>
                <w:color w:val="auto"/>
              </w:rPr>
            </w:pPr>
          </w:p>
        </w:tc>
        <w:tc>
          <w:tcPr>
            <w:tcW w:w="1500" w:type="dxa"/>
            <w:vAlign w:val="bottom"/>
            <w:tcBorders>
              <w:bottom w:val="single" w:sz="8" w:color="D9BA05"/>
            </w:tcBorders>
          </w:tcPr>
          <w:p>
            <w:pPr>
              <w:spacing w:after="0"/>
              <w:rPr>
                <w:sz w:val="5"/>
                <w:szCs w:val="5"/>
                <w:color w:val="auto"/>
              </w:rPr>
            </w:pPr>
          </w:p>
        </w:tc>
        <w:tc>
          <w:tcPr>
            <w:tcW w:w="1200" w:type="dxa"/>
            <w:vAlign w:val="bottom"/>
            <w:tcBorders>
              <w:bottom w:val="single" w:sz="8" w:color="D9BA05"/>
            </w:tcBorders>
          </w:tcPr>
          <w:p>
            <w:pPr>
              <w:spacing w:after="0"/>
              <w:rPr>
                <w:sz w:val="5"/>
                <w:szCs w:val="5"/>
                <w:color w:val="auto"/>
              </w:rPr>
            </w:pPr>
          </w:p>
        </w:tc>
        <w:tc>
          <w:tcPr>
            <w:tcW w:w="1160" w:type="dxa"/>
            <w:vAlign w:val="bottom"/>
            <w:tcBorders>
              <w:bottom w:val="single" w:sz="8" w:color="D9BA05"/>
            </w:tcBorders>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120" w:type="dxa"/>
            <w:vAlign w:val="bottom"/>
            <w:tcBorders>
              <w:bottom w:val="single" w:sz="8" w:color="E6E6E6"/>
            </w:tcBorders>
            <w:shd w:val="clear" w:color="auto" w:fill="E6E6E6"/>
          </w:tcPr>
          <w:p>
            <w:pPr>
              <w:spacing w:after="0"/>
              <w:rPr>
                <w:sz w:val="24"/>
                <w:szCs w:val="24"/>
                <w:color w:val="auto"/>
              </w:rPr>
            </w:pPr>
          </w:p>
        </w:tc>
        <w:tc>
          <w:tcPr>
            <w:tcW w:w="15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4"/>
                <w:szCs w:val="14"/>
                <w:b w:val="1"/>
                <w:bCs w:val="1"/>
                <w:color w:val="auto"/>
              </w:rPr>
              <w:t>Efraim Grinberg</w:t>
            </w:r>
          </w:p>
        </w:tc>
        <w:tc>
          <w:tcPr>
            <w:tcW w:w="1160" w:type="dxa"/>
            <w:vAlign w:val="bottom"/>
            <w:tcBorders>
              <w:bottom w:val="single" w:sz="8" w:color="E6E6E6"/>
            </w:tcBorders>
            <w:shd w:val="clear" w:color="auto" w:fill="E6E6E6"/>
          </w:tcPr>
          <w:p>
            <w:pPr>
              <w:jc w:val="right"/>
              <w:ind w:right="131"/>
              <w:spacing w:after="0"/>
              <w:rPr>
                <w:sz w:val="20"/>
                <w:szCs w:val="20"/>
                <w:color w:val="auto"/>
              </w:rPr>
            </w:pPr>
            <w:r>
              <w:rPr>
                <w:rFonts w:ascii="Arial" w:cs="Arial" w:eastAsia="Arial" w:hAnsi="Arial"/>
                <w:sz w:val="14"/>
                <w:szCs w:val="14"/>
                <w:color w:val="auto"/>
              </w:rPr>
              <w:t>04/21/2025</w:t>
            </w:r>
          </w:p>
        </w:tc>
        <w:tc>
          <w:tcPr>
            <w:tcW w:w="1200" w:type="dxa"/>
            <w:vAlign w:val="bottom"/>
            <w:tcBorders>
              <w:bottom w:val="single" w:sz="8" w:color="E6E6E6"/>
            </w:tcBorders>
            <w:shd w:val="clear" w:color="auto" w:fill="E6E6E6"/>
          </w:tcPr>
          <w:p>
            <w:pPr>
              <w:jc w:val="right"/>
              <w:ind w:right="151"/>
              <w:spacing w:after="0"/>
              <w:rPr>
                <w:sz w:val="20"/>
                <w:szCs w:val="20"/>
                <w:color w:val="auto"/>
              </w:rPr>
            </w:pPr>
            <w:r>
              <w:rPr>
                <w:rFonts w:ascii="Arial" w:cs="Arial" w:eastAsia="Arial" w:hAnsi="Arial"/>
                <w:sz w:val="14"/>
                <w:szCs w:val="14"/>
                <w:color w:val="auto"/>
              </w:rPr>
              <w:t>04/14/2025</w:t>
            </w:r>
          </w:p>
        </w:tc>
        <w:tc>
          <w:tcPr>
            <w:tcW w:w="1560" w:type="dxa"/>
            <w:vAlign w:val="bottom"/>
            <w:tcBorders>
              <w:bottom w:val="single" w:sz="8" w:color="E6E6E6"/>
            </w:tcBorders>
            <w:shd w:val="clear" w:color="auto" w:fill="E6E6E6"/>
          </w:tcPr>
          <w:p>
            <w:pPr>
              <w:jc w:val="right"/>
              <w:ind w:right="153"/>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E6E6E6"/>
            </w:tcBorders>
            <w:shd w:val="clear" w:color="auto" w:fill="E6E6E6"/>
          </w:tcPr>
          <w:p>
            <w:pPr>
              <w:jc w:val="right"/>
              <w:ind w:right="153"/>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E6E6E6"/>
            </w:tcBorders>
            <w:shd w:val="clear" w:color="auto" w:fill="E6E6E6"/>
          </w:tcPr>
          <w:p>
            <w:pPr>
              <w:jc w:val="right"/>
              <w:ind w:right="155"/>
              <w:spacing w:after="0"/>
              <w:rPr>
                <w:sz w:val="20"/>
                <w:szCs w:val="20"/>
                <w:color w:val="auto"/>
              </w:rPr>
            </w:pPr>
            <w:r>
              <w:rPr>
                <w:rFonts w:ascii="Arial" w:cs="Arial" w:eastAsia="Arial" w:hAnsi="Arial"/>
                <w:sz w:val="14"/>
                <w:szCs w:val="14"/>
                <w:color w:val="auto"/>
              </w:rPr>
              <w:t>144,766</w:t>
            </w:r>
          </w:p>
        </w:tc>
        <w:tc>
          <w:tcPr>
            <w:tcW w:w="1160" w:type="dxa"/>
            <w:vAlign w:val="bottom"/>
            <w:tcBorders>
              <w:bottom w:val="single" w:sz="8" w:color="E6E6E6"/>
            </w:tcBorders>
            <w:shd w:val="clear" w:color="auto" w:fill="E6E6E6"/>
          </w:tcPr>
          <w:p>
            <w:pPr>
              <w:jc w:val="right"/>
              <w:ind w:right="54"/>
              <w:spacing w:after="0"/>
              <w:rPr>
                <w:sz w:val="20"/>
                <w:szCs w:val="20"/>
                <w:color w:val="auto"/>
              </w:rPr>
            </w:pPr>
            <w:r>
              <w:rPr>
                <w:rFonts w:ascii="Arial" w:cs="Arial" w:eastAsia="Arial" w:hAnsi="Arial"/>
                <w:sz w:val="14"/>
                <w:szCs w:val="14"/>
                <w:color w:val="auto"/>
              </w:rPr>
              <w:t>1,949,998</w:t>
            </w: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1500" w:type="dxa"/>
            <w:vAlign w:val="bottom"/>
          </w:tcPr>
          <w:p>
            <w:pPr>
              <w:ind w:left="40"/>
              <w:spacing w:after="0"/>
              <w:rPr>
                <w:sz w:val="20"/>
                <w:szCs w:val="20"/>
                <w:color w:val="auto"/>
              </w:rPr>
            </w:pPr>
            <w:r>
              <w:rPr>
                <w:rFonts w:ascii="Arial" w:cs="Arial" w:eastAsia="Arial" w:hAnsi="Arial"/>
                <w:sz w:val="14"/>
                <w:szCs w:val="14"/>
                <w:b w:val="1"/>
                <w:bCs w:val="1"/>
                <w:color w:val="auto"/>
              </w:rPr>
              <w:t>Sallie DeMarsilis</w:t>
            </w: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04/21/2025</w:t>
            </w:r>
          </w:p>
        </w:tc>
        <w:tc>
          <w:tcPr>
            <w:tcW w:w="1200" w:type="dxa"/>
            <w:vAlign w:val="bottom"/>
          </w:tcPr>
          <w:p>
            <w:pPr>
              <w:jc w:val="right"/>
              <w:ind w:right="151"/>
              <w:spacing w:after="0"/>
              <w:rPr>
                <w:sz w:val="20"/>
                <w:szCs w:val="20"/>
                <w:color w:val="auto"/>
              </w:rPr>
            </w:pPr>
            <w:r>
              <w:rPr>
                <w:rFonts w:ascii="Arial" w:cs="Arial" w:eastAsia="Arial" w:hAnsi="Arial"/>
                <w:sz w:val="14"/>
                <w:szCs w:val="14"/>
                <w:color w:val="auto"/>
              </w:rPr>
              <w:t>04/14/2025</w:t>
            </w:r>
          </w:p>
        </w:tc>
        <w:tc>
          <w:tcPr>
            <w:tcW w:w="15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55"/>
              <w:spacing w:after="0"/>
              <w:rPr>
                <w:sz w:val="20"/>
                <w:szCs w:val="20"/>
                <w:color w:val="auto"/>
              </w:rPr>
            </w:pPr>
            <w:r>
              <w:rPr>
                <w:rFonts w:ascii="Arial" w:cs="Arial" w:eastAsia="Arial" w:hAnsi="Arial"/>
                <w:sz w:val="14"/>
                <w:szCs w:val="14"/>
                <w:color w:val="auto"/>
              </w:rPr>
              <w:t>37,458</w:t>
            </w:r>
          </w:p>
        </w:tc>
        <w:tc>
          <w:tcPr>
            <w:tcW w:w="1160" w:type="dxa"/>
            <w:vAlign w:val="bottom"/>
          </w:tcPr>
          <w:p>
            <w:pPr>
              <w:jc w:val="right"/>
              <w:ind w:right="54"/>
              <w:spacing w:after="0"/>
              <w:rPr>
                <w:sz w:val="20"/>
                <w:szCs w:val="20"/>
                <w:color w:val="auto"/>
              </w:rPr>
            </w:pPr>
            <w:r>
              <w:rPr>
                <w:rFonts w:ascii="Arial" w:cs="Arial" w:eastAsia="Arial" w:hAnsi="Arial"/>
                <w:sz w:val="14"/>
                <w:szCs w:val="14"/>
                <w:color w:val="auto"/>
              </w:rPr>
              <w:t>504,559</w:t>
            </w: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20" w:type="dxa"/>
            <w:vAlign w:val="bottom"/>
            <w:tcBorders>
              <w:bottom w:val="single" w:sz="8" w:color="E6E6E6"/>
            </w:tcBorders>
            <w:shd w:val="clear" w:color="auto" w:fill="E6E6E6"/>
          </w:tcPr>
          <w:p>
            <w:pPr>
              <w:spacing w:after="0"/>
              <w:rPr>
                <w:sz w:val="24"/>
                <w:szCs w:val="24"/>
                <w:color w:val="auto"/>
              </w:rPr>
            </w:pPr>
          </w:p>
        </w:tc>
        <w:tc>
          <w:tcPr>
            <w:tcW w:w="15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4"/>
                <w:szCs w:val="14"/>
                <w:b w:val="1"/>
                <w:bCs w:val="1"/>
                <w:color w:val="auto"/>
              </w:rPr>
              <w:t>Behzad Soltani</w:t>
            </w:r>
          </w:p>
        </w:tc>
        <w:tc>
          <w:tcPr>
            <w:tcW w:w="1160" w:type="dxa"/>
            <w:vAlign w:val="bottom"/>
            <w:tcBorders>
              <w:bottom w:val="single" w:sz="8" w:color="E6E6E6"/>
            </w:tcBorders>
            <w:shd w:val="clear" w:color="auto" w:fill="E6E6E6"/>
          </w:tcPr>
          <w:p>
            <w:pPr>
              <w:jc w:val="right"/>
              <w:ind w:right="131"/>
              <w:spacing w:after="0"/>
              <w:rPr>
                <w:sz w:val="20"/>
                <w:szCs w:val="20"/>
                <w:color w:val="auto"/>
              </w:rPr>
            </w:pPr>
            <w:r>
              <w:rPr>
                <w:rFonts w:ascii="Arial" w:cs="Arial" w:eastAsia="Arial" w:hAnsi="Arial"/>
                <w:sz w:val="14"/>
                <w:szCs w:val="14"/>
                <w:color w:val="auto"/>
              </w:rPr>
              <w:t>04/21/2025</w:t>
            </w:r>
          </w:p>
        </w:tc>
        <w:tc>
          <w:tcPr>
            <w:tcW w:w="1200" w:type="dxa"/>
            <w:vAlign w:val="bottom"/>
            <w:tcBorders>
              <w:bottom w:val="single" w:sz="8" w:color="E6E6E6"/>
            </w:tcBorders>
            <w:shd w:val="clear" w:color="auto" w:fill="E6E6E6"/>
          </w:tcPr>
          <w:p>
            <w:pPr>
              <w:jc w:val="right"/>
              <w:ind w:right="151"/>
              <w:spacing w:after="0"/>
              <w:rPr>
                <w:sz w:val="20"/>
                <w:szCs w:val="20"/>
                <w:color w:val="auto"/>
              </w:rPr>
            </w:pPr>
            <w:r>
              <w:rPr>
                <w:rFonts w:ascii="Arial" w:cs="Arial" w:eastAsia="Arial" w:hAnsi="Arial"/>
                <w:sz w:val="14"/>
                <w:szCs w:val="14"/>
                <w:color w:val="auto"/>
              </w:rPr>
              <w:t>04/14/2025</w:t>
            </w:r>
          </w:p>
        </w:tc>
        <w:tc>
          <w:tcPr>
            <w:tcW w:w="1560" w:type="dxa"/>
            <w:vAlign w:val="bottom"/>
            <w:tcBorders>
              <w:bottom w:val="single" w:sz="8" w:color="E6E6E6"/>
            </w:tcBorders>
            <w:shd w:val="clear" w:color="auto" w:fill="E6E6E6"/>
          </w:tcPr>
          <w:p>
            <w:pPr>
              <w:jc w:val="right"/>
              <w:ind w:right="153"/>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E6E6E6"/>
            </w:tcBorders>
            <w:shd w:val="clear" w:color="auto" w:fill="E6E6E6"/>
          </w:tcPr>
          <w:p>
            <w:pPr>
              <w:jc w:val="right"/>
              <w:ind w:right="153"/>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E6E6E6"/>
            </w:tcBorders>
            <w:shd w:val="clear" w:color="auto" w:fill="E6E6E6"/>
          </w:tcPr>
          <w:p>
            <w:pPr>
              <w:jc w:val="right"/>
              <w:ind w:right="155"/>
              <w:spacing w:after="0"/>
              <w:rPr>
                <w:sz w:val="20"/>
                <w:szCs w:val="20"/>
                <w:color w:val="auto"/>
              </w:rPr>
            </w:pPr>
            <w:r>
              <w:rPr>
                <w:rFonts w:ascii="Arial" w:cs="Arial" w:eastAsia="Arial" w:hAnsi="Arial"/>
                <w:sz w:val="14"/>
                <w:szCs w:val="14"/>
                <w:color w:val="auto"/>
              </w:rPr>
              <w:t>34,577</w:t>
            </w:r>
          </w:p>
        </w:tc>
        <w:tc>
          <w:tcPr>
            <w:tcW w:w="1160" w:type="dxa"/>
            <w:vAlign w:val="bottom"/>
            <w:tcBorders>
              <w:bottom w:val="single" w:sz="8" w:color="E6E6E6"/>
            </w:tcBorders>
            <w:shd w:val="clear" w:color="auto" w:fill="E6E6E6"/>
          </w:tcPr>
          <w:p>
            <w:pPr>
              <w:jc w:val="right"/>
              <w:ind w:right="54"/>
              <w:spacing w:after="0"/>
              <w:rPr>
                <w:sz w:val="20"/>
                <w:szCs w:val="20"/>
                <w:color w:val="auto"/>
              </w:rPr>
            </w:pPr>
            <w:r>
              <w:rPr>
                <w:rFonts w:ascii="Arial" w:cs="Arial" w:eastAsia="Arial" w:hAnsi="Arial"/>
                <w:sz w:val="14"/>
                <w:szCs w:val="14"/>
                <w:color w:val="auto"/>
              </w:rPr>
              <w:t>465,752</w:t>
            </w: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1500" w:type="dxa"/>
            <w:vAlign w:val="bottom"/>
          </w:tcPr>
          <w:p>
            <w:pPr>
              <w:ind w:left="40"/>
              <w:spacing w:after="0"/>
              <w:rPr>
                <w:sz w:val="20"/>
                <w:szCs w:val="20"/>
                <w:color w:val="auto"/>
              </w:rPr>
            </w:pPr>
            <w:r>
              <w:rPr>
                <w:rFonts w:ascii="Arial" w:cs="Arial" w:eastAsia="Arial" w:hAnsi="Arial"/>
                <w:sz w:val="14"/>
                <w:szCs w:val="14"/>
                <w:b w:val="1"/>
                <w:bCs w:val="1"/>
                <w:color w:val="auto"/>
              </w:rPr>
              <w:t>Mitchell Sussis</w:t>
            </w:r>
          </w:p>
        </w:tc>
        <w:tc>
          <w:tcPr>
            <w:tcW w:w="1160" w:type="dxa"/>
            <w:vAlign w:val="bottom"/>
          </w:tcPr>
          <w:p>
            <w:pPr>
              <w:jc w:val="right"/>
              <w:ind w:right="131"/>
              <w:spacing w:after="0"/>
              <w:rPr>
                <w:sz w:val="20"/>
                <w:szCs w:val="20"/>
                <w:color w:val="auto"/>
              </w:rPr>
            </w:pPr>
            <w:r>
              <w:rPr>
                <w:rFonts w:ascii="Arial" w:cs="Arial" w:eastAsia="Arial" w:hAnsi="Arial"/>
                <w:sz w:val="14"/>
                <w:szCs w:val="14"/>
                <w:color w:val="auto"/>
              </w:rPr>
              <w:t>04/21/2025</w:t>
            </w:r>
          </w:p>
        </w:tc>
        <w:tc>
          <w:tcPr>
            <w:tcW w:w="1200" w:type="dxa"/>
            <w:vAlign w:val="bottom"/>
          </w:tcPr>
          <w:p>
            <w:pPr>
              <w:jc w:val="right"/>
              <w:ind w:right="151"/>
              <w:spacing w:after="0"/>
              <w:rPr>
                <w:sz w:val="20"/>
                <w:szCs w:val="20"/>
                <w:color w:val="auto"/>
              </w:rPr>
            </w:pPr>
            <w:r>
              <w:rPr>
                <w:rFonts w:ascii="Arial" w:cs="Arial" w:eastAsia="Arial" w:hAnsi="Arial"/>
                <w:sz w:val="14"/>
                <w:szCs w:val="14"/>
                <w:color w:val="auto"/>
              </w:rPr>
              <w:t>04/14/2025</w:t>
            </w:r>
          </w:p>
        </w:tc>
        <w:tc>
          <w:tcPr>
            <w:tcW w:w="156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53"/>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55"/>
              <w:spacing w:after="0"/>
              <w:rPr>
                <w:sz w:val="20"/>
                <w:szCs w:val="20"/>
                <w:color w:val="auto"/>
              </w:rPr>
            </w:pPr>
            <w:r>
              <w:rPr>
                <w:rFonts w:ascii="Arial" w:cs="Arial" w:eastAsia="Arial" w:hAnsi="Arial"/>
                <w:sz w:val="14"/>
                <w:szCs w:val="14"/>
                <w:color w:val="auto"/>
              </w:rPr>
              <w:t>17,634</w:t>
            </w:r>
          </w:p>
        </w:tc>
        <w:tc>
          <w:tcPr>
            <w:tcW w:w="1160" w:type="dxa"/>
            <w:vAlign w:val="bottom"/>
          </w:tcPr>
          <w:p>
            <w:pPr>
              <w:jc w:val="right"/>
              <w:ind w:right="54"/>
              <w:spacing w:after="0"/>
              <w:rPr>
                <w:sz w:val="20"/>
                <w:szCs w:val="20"/>
                <w:color w:val="auto"/>
              </w:rPr>
            </w:pPr>
            <w:r>
              <w:rPr>
                <w:rFonts w:ascii="Arial" w:cs="Arial" w:eastAsia="Arial" w:hAnsi="Arial"/>
                <w:sz w:val="14"/>
                <w:szCs w:val="14"/>
                <w:color w:val="auto"/>
              </w:rPr>
              <w:t>237,530</w:t>
            </w: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20" w:type="dxa"/>
            <w:vAlign w:val="bottom"/>
            <w:tcBorders>
              <w:bottom w:val="single" w:sz="8" w:color="E6E6E6"/>
            </w:tcBorders>
            <w:shd w:val="clear" w:color="auto" w:fill="E6E6E6"/>
          </w:tcPr>
          <w:p>
            <w:pPr>
              <w:spacing w:after="0"/>
              <w:rPr>
                <w:sz w:val="22"/>
                <w:szCs w:val="22"/>
                <w:color w:val="auto"/>
              </w:rPr>
            </w:pPr>
          </w:p>
        </w:tc>
        <w:tc>
          <w:tcPr>
            <w:tcW w:w="150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4"/>
                <w:szCs w:val="14"/>
                <w:b w:val="1"/>
                <w:bCs w:val="1"/>
                <w:color w:val="auto"/>
              </w:rPr>
              <w:t>Michelle Kennedy</w:t>
            </w:r>
          </w:p>
        </w:tc>
        <w:tc>
          <w:tcPr>
            <w:tcW w:w="1160" w:type="dxa"/>
            <w:vAlign w:val="bottom"/>
            <w:tcBorders>
              <w:bottom w:val="single" w:sz="8" w:color="E6E6E6"/>
            </w:tcBorders>
            <w:shd w:val="clear" w:color="auto" w:fill="E6E6E6"/>
          </w:tcPr>
          <w:p>
            <w:pPr>
              <w:jc w:val="right"/>
              <w:ind w:right="131"/>
              <w:spacing w:after="0"/>
              <w:rPr>
                <w:sz w:val="20"/>
                <w:szCs w:val="20"/>
                <w:color w:val="auto"/>
              </w:rPr>
            </w:pPr>
            <w:r>
              <w:rPr>
                <w:rFonts w:ascii="Arial" w:cs="Arial" w:eastAsia="Arial" w:hAnsi="Arial"/>
                <w:sz w:val="14"/>
                <w:szCs w:val="14"/>
                <w:color w:val="auto"/>
              </w:rPr>
              <w:t>04/21/2025</w:t>
            </w:r>
          </w:p>
        </w:tc>
        <w:tc>
          <w:tcPr>
            <w:tcW w:w="1200" w:type="dxa"/>
            <w:vAlign w:val="bottom"/>
            <w:tcBorders>
              <w:bottom w:val="single" w:sz="8" w:color="E6E6E6"/>
            </w:tcBorders>
            <w:shd w:val="clear" w:color="auto" w:fill="E6E6E6"/>
          </w:tcPr>
          <w:p>
            <w:pPr>
              <w:jc w:val="right"/>
              <w:ind w:right="151"/>
              <w:spacing w:after="0"/>
              <w:rPr>
                <w:sz w:val="20"/>
                <w:szCs w:val="20"/>
                <w:color w:val="auto"/>
              </w:rPr>
            </w:pPr>
            <w:r>
              <w:rPr>
                <w:rFonts w:ascii="Arial" w:cs="Arial" w:eastAsia="Arial" w:hAnsi="Arial"/>
                <w:sz w:val="14"/>
                <w:szCs w:val="14"/>
                <w:color w:val="auto"/>
              </w:rPr>
              <w:t>04/14/2025</w:t>
            </w:r>
          </w:p>
        </w:tc>
        <w:tc>
          <w:tcPr>
            <w:tcW w:w="1560" w:type="dxa"/>
            <w:vAlign w:val="bottom"/>
            <w:tcBorders>
              <w:bottom w:val="single" w:sz="8" w:color="E6E6E6"/>
            </w:tcBorders>
            <w:shd w:val="clear" w:color="auto" w:fill="E6E6E6"/>
          </w:tcPr>
          <w:p>
            <w:pPr>
              <w:jc w:val="right"/>
              <w:ind w:right="153"/>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E6E6E6"/>
            </w:tcBorders>
            <w:shd w:val="clear" w:color="auto" w:fill="E6E6E6"/>
          </w:tcPr>
          <w:p>
            <w:pPr>
              <w:jc w:val="right"/>
              <w:ind w:right="153"/>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E6E6E6"/>
            </w:tcBorders>
            <w:shd w:val="clear" w:color="auto" w:fill="E6E6E6"/>
          </w:tcPr>
          <w:p>
            <w:pPr>
              <w:jc w:val="right"/>
              <w:ind w:right="155"/>
              <w:spacing w:after="0"/>
              <w:rPr>
                <w:sz w:val="20"/>
                <w:szCs w:val="20"/>
                <w:color w:val="auto"/>
              </w:rPr>
            </w:pPr>
            <w:r>
              <w:rPr>
                <w:rFonts w:ascii="Arial" w:cs="Arial" w:eastAsia="Arial" w:hAnsi="Arial"/>
                <w:sz w:val="14"/>
                <w:szCs w:val="14"/>
                <w:color w:val="auto"/>
              </w:rPr>
              <w:t>17,634</w:t>
            </w:r>
          </w:p>
        </w:tc>
        <w:tc>
          <w:tcPr>
            <w:tcW w:w="1160" w:type="dxa"/>
            <w:vAlign w:val="bottom"/>
            <w:tcBorders>
              <w:bottom w:val="single" w:sz="8" w:color="E6E6E6"/>
            </w:tcBorders>
            <w:shd w:val="clear" w:color="auto" w:fill="E6E6E6"/>
          </w:tcPr>
          <w:p>
            <w:pPr>
              <w:jc w:val="right"/>
              <w:ind w:right="54"/>
              <w:spacing w:after="0"/>
              <w:rPr>
                <w:sz w:val="20"/>
                <w:szCs w:val="20"/>
                <w:color w:val="auto"/>
              </w:rPr>
            </w:pPr>
            <w:r>
              <w:rPr>
                <w:rFonts w:ascii="Arial" w:cs="Arial" w:eastAsia="Arial" w:hAnsi="Arial"/>
                <w:sz w:val="14"/>
                <w:szCs w:val="14"/>
                <w:color w:val="auto"/>
              </w:rPr>
              <w:t>237,530</w:t>
            </w:r>
          </w:p>
        </w:tc>
        <w:tc>
          <w:tcPr>
            <w:tcW w:w="0" w:type="dxa"/>
            <w:vAlign w:val="bottom"/>
          </w:tcPr>
          <w:p>
            <w:pPr>
              <w:spacing w:after="0"/>
              <w:rPr>
                <w:sz w:val="1"/>
                <w:szCs w:val="1"/>
                <w:color w:val="auto"/>
              </w:rPr>
            </w:pPr>
          </w:p>
        </w:tc>
      </w:tr>
      <w:tr>
        <w:trPr>
          <w:trHeight w:val="20"/>
        </w:trPr>
        <w:tc>
          <w:tcPr>
            <w:tcW w:w="120" w:type="dxa"/>
            <w:vAlign w:val="bottom"/>
            <w:shd w:val="clear" w:color="auto" w:fill="D9BA05"/>
          </w:tcPr>
          <w:p>
            <w:pPr>
              <w:spacing w:after="0" w:line="20" w:lineRule="exact"/>
              <w:rPr>
                <w:sz w:val="1"/>
                <w:szCs w:val="1"/>
                <w:color w:val="auto"/>
              </w:rPr>
            </w:pPr>
          </w:p>
        </w:tc>
        <w:tc>
          <w:tcPr>
            <w:tcW w:w="1500" w:type="dxa"/>
            <w:vAlign w:val="bottom"/>
            <w:shd w:val="clear" w:color="auto" w:fill="D9BA05"/>
          </w:tcPr>
          <w:p>
            <w:pPr>
              <w:spacing w:after="0" w:line="20" w:lineRule="exact"/>
              <w:rPr>
                <w:sz w:val="1"/>
                <w:szCs w:val="1"/>
                <w:color w:val="auto"/>
              </w:rPr>
            </w:pPr>
          </w:p>
        </w:tc>
        <w:tc>
          <w:tcPr>
            <w:tcW w:w="1160" w:type="dxa"/>
            <w:vAlign w:val="bottom"/>
            <w:shd w:val="clear" w:color="auto" w:fill="D9BA05"/>
          </w:tcPr>
          <w:p>
            <w:pPr>
              <w:spacing w:after="0" w:line="20" w:lineRule="exact"/>
              <w:rPr>
                <w:sz w:val="1"/>
                <w:szCs w:val="1"/>
                <w:color w:val="auto"/>
              </w:rPr>
            </w:pPr>
          </w:p>
        </w:tc>
        <w:tc>
          <w:tcPr>
            <w:tcW w:w="1200" w:type="dxa"/>
            <w:vAlign w:val="bottom"/>
            <w:shd w:val="clear" w:color="auto" w:fill="D9BA05"/>
          </w:tcPr>
          <w:p>
            <w:pPr>
              <w:spacing w:after="0" w:line="20" w:lineRule="exact"/>
              <w:rPr>
                <w:sz w:val="1"/>
                <w:szCs w:val="1"/>
                <w:color w:val="auto"/>
              </w:rPr>
            </w:pPr>
          </w:p>
        </w:tc>
        <w:tc>
          <w:tcPr>
            <w:tcW w:w="1560" w:type="dxa"/>
            <w:vAlign w:val="bottom"/>
            <w:shd w:val="clear" w:color="auto" w:fill="D9BA05"/>
          </w:tcPr>
          <w:p>
            <w:pPr>
              <w:spacing w:after="0" w:line="20" w:lineRule="exact"/>
              <w:rPr>
                <w:sz w:val="1"/>
                <w:szCs w:val="1"/>
                <w:color w:val="auto"/>
              </w:rPr>
            </w:pPr>
          </w:p>
        </w:tc>
        <w:tc>
          <w:tcPr>
            <w:tcW w:w="1500" w:type="dxa"/>
            <w:vAlign w:val="bottom"/>
            <w:shd w:val="clear" w:color="auto" w:fill="D9BA05"/>
          </w:tcPr>
          <w:p>
            <w:pPr>
              <w:spacing w:after="0" w:line="20" w:lineRule="exact"/>
              <w:rPr>
                <w:sz w:val="1"/>
                <w:szCs w:val="1"/>
                <w:color w:val="auto"/>
              </w:rPr>
            </w:pPr>
          </w:p>
        </w:tc>
        <w:tc>
          <w:tcPr>
            <w:tcW w:w="1200" w:type="dxa"/>
            <w:vAlign w:val="bottom"/>
            <w:shd w:val="clear" w:color="auto" w:fill="D9BA05"/>
          </w:tcPr>
          <w:p>
            <w:pPr>
              <w:spacing w:after="0" w:line="20" w:lineRule="exact"/>
              <w:rPr>
                <w:sz w:val="1"/>
                <w:szCs w:val="1"/>
                <w:color w:val="auto"/>
              </w:rPr>
            </w:pPr>
          </w:p>
        </w:tc>
        <w:tc>
          <w:tcPr>
            <w:tcW w:w="1160" w:type="dxa"/>
            <w:vAlign w:val="bottom"/>
            <w:shd w:val="clear" w:color="auto" w:fill="D9BA0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40" w:right="20" w:hanging="334"/>
        <w:spacing w:after="0" w:line="233" w:lineRule="auto"/>
        <w:tabs>
          <w:tab w:leader="none" w:pos="340" w:val="left"/>
        </w:tabs>
        <w:numPr>
          <w:ilvl w:val="0"/>
          <w:numId w:val="22"/>
        </w:numPr>
        <w:rPr>
          <w:rFonts w:ascii="Arial" w:cs="Arial" w:eastAsia="Arial" w:hAnsi="Arial"/>
          <w:sz w:val="13"/>
          <w:szCs w:val="13"/>
          <w:color w:val="333333"/>
        </w:rPr>
      </w:pPr>
      <w:r>
        <w:rPr>
          <w:rFonts w:ascii="Arial" w:cs="Arial" w:eastAsia="Arial" w:hAnsi="Arial"/>
          <w:sz w:val="13"/>
          <w:szCs w:val="13"/>
          <w:color w:val="333333"/>
        </w:rPr>
        <w:t xml:space="preserve">Reflects annual cash incentive opportunities for the NEOs to the extent that such payments are based on specific performance goals established for the applicable year. No such specific goals were established for fiscal 2026. See “Fiscal 2026 Executive Compensation Components — </w:t>
      </w:r>
      <w:r>
        <w:rPr>
          <w:rFonts w:ascii="Arial" w:cs="Arial" w:eastAsia="Arial" w:hAnsi="Arial"/>
          <w:sz w:val="13"/>
          <w:szCs w:val="13"/>
          <w:i w:val="1"/>
          <w:iCs w:val="1"/>
          <w:color w:val="333333"/>
        </w:rPr>
        <w:t>Annual Incentive Compensation</w:t>
      </w:r>
      <w:r>
        <w:rPr>
          <w:rFonts w:ascii="Arial" w:cs="Arial" w:eastAsia="Arial" w:hAnsi="Arial"/>
          <w:sz w:val="13"/>
          <w:szCs w:val="13"/>
          <w:color w:val="333333"/>
        </w:rPr>
        <w:t xml:space="preserve"> </w:t>
      </w:r>
      <w:r>
        <w:rPr>
          <w:rFonts w:ascii="Arial" w:cs="Arial" w:eastAsia="Arial" w:hAnsi="Arial"/>
          <w:sz w:val="13"/>
          <w:szCs w:val="13"/>
          <w:i w:val="1"/>
          <w:iCs w:val="1"/>
          <w:color w:val="333333"/>
        </w:rPr>
        <w:t>Program,</w:t>
      </w:r>
      <w:r>
        <w:rPr>
          <w:rFonts w:ascii="Arial" w:cs="Arial" w:eastAsia="Arial" w:hAnsi="Arial"/>
          <w:sz w:val="13"/>
          <w:szCs w:val="13"/>
          <w:color w:val="333333"/>
        </w:rPr>
        <w:t>” above.</w:t>
      </w:r>
    </w:p>
    <w:p>
      <w:pPr>
        <w:spacing w:after="0" w:line="64" w:lineRule="exact"/>
        <w:rPr>
          <w:rFonts w:ascii="Arial" w:cs="Arial" w:eastAsia="Arial" w:hAnsi="Arial"/>
          <w:sz w:val="13"/>
          <w:szCs w:val="13"/>
          <w:color w:val="333333"/>
        </w:rPr>
      </w:pPr>
    </w:p>
    <w:p>
      <w:pPr>
        <w:ind w:left="340" w:hanging="334"/>
        <w:spacing w:after="0"/>
        <w:tabs>
          <w:tab w:leader="none" w:pos="340" w:val="left"/>
        </w:tabs>
        <w:numPr>
          <w:ilvl w:val="0"/>
          <w:numId w:val="22"/>
        </w:numPr>
        <w:rPr>
          <w:rFonts w:ascii="Arial" w:cs="Arial" w:eastAsia="Arial" w:hAnsi="Arial"/>
          <w:sz w:val="12"/>
          <w:szCs w:val="12"/>
          <w:color w:val="333333"/>
        </w:rPr>
      </w:pPr>
      <w:r>
        <w:rPr>
          <w:rFonts w:ascii="Arial" w:cs="Arial" w:eastAsia="Arial" w:hAnsi="Arial"/>
          <w:sz w:val="12"/>
          <w:szCs w:val="12"/>
          <w:color w:val="333333"/>
        </w:rPr>
        <w:t xml:space="preserve">Reflects performance-based stock awards granted to the NEOs. No such awards were granted for fiscal 2026. See “— </w:t>
      </w:r>
      <w:r>
        <w:rPr>
          <w:rFonts w:ascii="Arial" w:cs="Arial" w:eastAsia="Arial" w:hAnsi="Arial"/>
          <w:sz w:val="12"/>
          <w:szCs w:val="12"/>
          <w:i w:val="1"/>
          <w:iCs w:val="1"/>
          <w:color w:val="333333"/>
        </w:rPr>
        <w:t>Equity Incentive Compensation,</w:t>
      </w:r>
      <w:r>
        <w:rPr>
          <w:rFonts w:ascii="Arial" w:cs="Arial" w:eastAsia="Arial" w:hAnsi="Arial"/>
          <w:sz w:val="12"/>
          <w:szCs w:val="12"/>
          <w:color w:val="333333"/>
        </w:rPr>
        <w:t>” above.</w:t>
      </w:r>
    </w:p>
    <w:p>
      <w:pPr>
        <w:spacing w:after="0" w:line="91" w:lineRule="exact"/>
        <w:rPr>
          <w:rFonts w:ascii="Arial" w:cs="Arial" w:eastAsia="Arial" w:hAnsi="Arial"/>
          <w:sz w:val="12"/>
          <w:szCs w:val="12"/>
          <w:color w:val="333333"/>
        </w:rPr>
      </w:pPr>
    </w:p>
    <w:p>
      <w:pPr>
        <w:ind w:left="340" w:right="60" w:hanging="334"/>
        <w:spacing w:after="0" w:line="243" w:lineRule="auto"/>
        <w:tabs>
          <w:tab w:leader="none" w:pos="340" w:val="left"/>
        </w:tabs>
        <w:numPr>
          <w:ilvl w:val="0"/>
          <w:numId w:val="22"/>
        </w:numPr>
        <w:rPr>
          <w:rFonts w:ascii="Arial" w:cs="Arial" w:eastAsia="Arial" w:hAnsi="Arial"/>
          <w:sz w:val="13"/>
          <w:szCs w:val="13"/>
          <w:color w:val="333333"/>
        </w:rPr>
      </w:pPr>
      <w:r>
        <w:rPr>
          <w:rFonts w:ascii="Arial" w:cs="Arial" w:eastAsia="Arial" w:hAnsi="Arial"/>
          <w:sz w:val="13"/>
          <w:szCs w:val="13"/>
          <w:color w:val="333333"/>
        </w:rPr>
        <w:t xml:space="preserve">Reflects time-vesting stock awards granted under the fiscal 2026 long-term incentive program as discussed above under “— </w:t>
      </w:r>
      <w:r>
        <w:rPr>
          <w:rFonts w:ascii="Arial" w:cs="Arial" w:eastAsia="Arial" w:hAnsi="Arial"/>
          <w:sz w:val="13"/>
          <w:szCs w:val="13"/>
          <w:i w:val="1"/>
          <w:iCs w:val="1"/>
          <w:color w:val="333333"/>
        </w:rPr>
        <w:t>Equity Incentive Compensation</w:t>
      </w:r>
      <w:r>
        <w:rPr>
          <w:rFonts w:ascii="Arial" w:cs="Arial" w:eastAsia="Arial" w:hAnsi="Arial"/>
          <w:sz w:val="13"/>
          <w:szCs w:val="13"/>
          <w:color w:val="333333"/>
        </w:rPr>
        <w:t>.” The awards cliff-vest on the third anniversary of the grant date.</w:t>
      </w:r>
    </w:p>
    <w:p>
      <w:pPr>
        <w:spacing w:after="0" w:line="48" w:lineRule="exact"/>
        <w:rPr>
          <w:rFonts w:ascii="Arial" w:cs="Arial" w:eastAsia="Arial" w:hAnsi="Arial"/>
          <w:sz w:val="13"/>
          <w:szCs w:val="13"/>
          <w:color w:val="333333"/>
        </w:rPr>
      </w:pPr>
    </w:p>
    <w:p>
      <w:pPr>
        <w:ind w:left="340" w:right="320" w:hanging="334"/>
        <w:spacing w:after="0" w:line="243" w:lineRule="auto"/>
        <w:tabs>
          <w:tab w:leader="none" w:pos="340" w:val="left"/>
        </w:tabs>
        <w:numPr>
          <w:ilvl w:val="0"/>
          <w:numId w:val="22"/>
        </w:numPr>
        <w:rPr>
          <w:rFonts w:ascii="Arial" w:cs="Arial" w:eastAsia="Arial" w:hAnsi="Arial"/>
          <w:sz w:val="13"/>
          <w:szCs w:val="13"/>
          <w:color w:val="333333"/>
        </w:rPr>
      </w:pPr>
      <w:r>
        <w:rPr>
          <w:rFonts w:ascii="Arial" w:cs="Arial" w:eastAsia="Arial" w:hAnsi="Arial"/>
          <w:sz w:val="13"/>
          <w:szCs w:val="13"/>
          <w:color w:val="333333"/>
        </w:rPr>
        <w:t>The amounts in column (L) represent the grant date fair value of the stock awards computed in accordance with FASB ASC Topic 718. No stock options were granted to the NEOs in fiscal 2026.</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Movado Group, Inc.        30</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Outstanding Equity Awards at Fiscal 2026 Year-End</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Borders>
              <w:bottom w:val="single" w:sz="8" w:color="D9BA05"/>
            </w:tcBorders>
          </w:tcPr>
          <w:p>
            <w:pPr>
              <w:spacing w:after="0"/>
              <w:rPr>
                <w:sz w:val="23"/>
                <w:szCs w:val="23"/>
                <w:color w:val="auto"/>
              </w:rPr>
            </w:pPr>
          </w:p>
        </w:tc>
        <w:tc>
          <w:tcPr>
            <w:tcW w:w="60" w:type="dxa"/>
            <w:vAlign w:val="bottom"/>
            <w:tcBorders>
              <w:bottom w:val="single" w:sz="8" w:color="D9BA05"/>
            </w:tcBorders>
          </w:tcPr>
          <w:p>
            <w:pPr>
              <w:spacing w:after="0"/>
              <w:rPr>
                <w:sz w:val="23"/>
                <w:szCs w:val="23"/>
                <w:color w:val="auto"/>
              </w:rPr>
            </w:pPr>
          </w:p>
        </w:tc>
        <w:tc>
          <w:tcPr>
            <w:tcW w:w="2140" w:type="dxa"/>
            <w:vAlign w:val="bottom"/>
            <w:tcBorders>
              <w:bottom w:val="single" w:sz="8" w:color="D9BA05"/>
            </w:tcBorders>
            <w:gridSpan w:val="2"/>
          </w:tcPr>
          <w:p>
            <w:pPr>
              <w:jc w:val="right"/>
              <w:ind w:right="537"/>
              <w:spacing w:after="0"/>
              <w:rPr>
                <w:sz w:val="20"/>
                <w:szCs w:val="20"/>
                <w:color w:val="auto"/>
              </w:rPr>
            </w:pPr>
            <w:r>
              <w:rPr>
                <w:rFonts w:ascii="Arial" w:cs="Arial" w:eastAsia="Arial" w:hAnsi="Arial"/>
                <w:sz w:val="13"/>
                <w:szCs w:val="13"/>
                <w:b w:val="1"/>
                <w:bCs w:val="1"/>
                <w:color w:val="auto"/>
              </w:rPr>
              <w:t>OPTION AWARDS</w:t>
            </w:r>
          </w:p>
        </w:tc>
        <w:tc>
          <w:tcPr>
            <w:tcW w:w="840" w:type="dxa"/>
            <w:vAlign w:val="bottom"/>
            <w:tcBorders>
              <w:bottom w:val="single" w:sz="8" w:color="D9BA05"/>
            </w:tcBorders>
          </w:tcPr>
          <w:p>
            <w:pPr>
              <w:spacing w:after="0"/>
              <w:rPr>
                <w:sz w:val="23"/>
                <w:szCs w:val="23"/>
                <w:color w:val="auto"/>
              </w:rPr>
            </w:pPr>
          </w:p>
        </w:tc>
        <w:tc>
          <w:tcPr>
            <w:tcW w:w="60" w:type="dxa"/>
            <w:vAlign w:val="bottom"/>
          </w:tcPr>
          <w:p>
            <w:pPr>
              <w:spacing w:after="0"/>
              <w:rPr>
                <w:sz w:val="23"/>
                <w:szCs w:val="23"/>
                <w:color w:val="auto"/>
              </w:rPr>
            </w:pPr>
          </w:p>
        </w:tc>
        <w:tc>
          <w:tcPr>
            <w:tcW w:w="960" w:type="dxa"/>
            <w:vAlign w:val="bottom"/>
            <w:tcBorders>
              <w:bottom w:val="single" w:sz="8" w:color="D9BA05"/>
            </w:tcBorders>
          </w:tcPr>
          <w:p>
            <w:pPr>
              <w:spacing w:after="0"/>
              <w:rPr>
                <w:sz w:val="23"/>
                <w:szCs w:val="23"/>
                <w:color w:val="auto"/>
              </w:rPr>
            </w:pPr>
          </w:p>
        </w:tc>
        <w:tc>
          <w:tcPr>
            <w:tcW w:w="2100" w:type="dxa"/>
            <w:vAlign w:val="bottom"/>
            <w:tcBorders>
              <w:bottom w:val="single" w:sz="8" w:color="D9BA05"/>
            </w:tcBorders>
            <w:gridSpan w:val="2"/>
          </w:tcPr>
          <w:p>
            <w:pPr>
              <w:jc w:val="right"/>
              <w:ind w:right="317"/>
              <w:spacing w:after="0"/>
              <w:rPr>
                <w:sz w:val="20"/>
                <w:szCs w:val="20"/>
                <w:color w:val="auto"/>
              </w:rPr>
            </w:pPr>
            <w:r>
              <w:rPr>
                <w:rFonts w:ascii="Arial" w:cs="Arial" w:eastAsia="Arial" w:hAnsi="Arial"/>
                <w:sz w:val="13"/>
                <w:szCs w:val="13"/>
                <w:b w:val="1"/>
                <w:bCs w:val="1"/>
                <w:color w:val="auto"/>
              </w:rPr>
              <w:t>STOCK AWARDS</w:t>
            </w:r>
            <w:r>
              <w:rPr>
                <w:rFonts w:ascii="Arial" w:cs="Arial" w:eastAsia="Arial" w:hAnsi="Arial"/>
                <w:sz w:val="20"/>
                <w:szCs w:val="20"/>
                <w:b w:val="1"/>
                <w:bCs w:val="1"/>
                <w:color w:val="auto"/>
                <w:vertAlign w:val="superscript"/>
              </w:rPr>
              <w:t>(2)</w:t>
            </w:r>
          </w:p>
        </w:tc>
        <w:tc>
          <w:tcPr>
            <w:tcW w:w="1200" w:type="dxa"/>
            <w:vAlign w:val="bottom"/>
            <w:tcBorders>
              <w:bottom w:val="single" w:sz="8" w:color="D9BA05"/>
            </w:tcBorders>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1000" w:type="dxa"/>
            <w:vAlign w:val="bottom"/>
          </w:tcPr>
          <w:p>
            <w:pPr>
              <w:ind w:left="40"/>
              <w:spacing w:after="0"/>
              <w:rPr>
                <w:sz w:val="20"/>
                <w:szCs w:val="20"/>
                <w:color w:val="auto"/>
              </w:rPr>
            </w:pPr>
            <w:r>
              <w:rPr>
                <w:rFonts w:ascii="Arial" w:cs="Arial" w:eastAsia="Arial" w:hAnsi="Arial"/>
                <w:sz w:val="13"/>
                <w:szCs w:val="13"/>
                <w:b w:val="1"/>
                <w:bCs w:val="1"/>
                <w:color w:val="auto"/>
              </w:rPr>
              <w:t>(A)</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(B)</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(C)</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(E)</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(F)</w:t>
            </w:r>
          </w:p>
        </w:tc>
        <w:tc>
          <w:tcPr>
            <w:tcW w:w="960" w:type="dxa"/>
            <w:vAlign w:val="bottom"/>
          </w:tcPr>
          <w:p>
            <w:pPr>
              <w:jc w:val="right"/>
              <w:ind w:right="17"/>
              <w:spacing w:after="0"/>
              <w:rPr>
                <w:sz w:val="20"/>
                <w:szCs w:val="20"/>
                <w:color w:val="auto"/>
              </w:rPr>
            </w:pPr>
            <w:r>
              <w:rPr>
                <w:rFonts w:ascii="Arial" w:cs="Arial" w:eastAsia="Arial" w:hAnsi="Arial"/>
                <w:sz w:val="13"/>
                <w:szCs w:val="13"/>
                <w:b w:val="1"/>
                <w:bCs w:val="1"/>
                <w:color w:val="auto"/>
              </w:rPr>
              <w:t>(G)</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(H)</w:t>
            </w:r>
          </w:p>
        </w:tc>
        <w:tc>
          <w:tcPr>
            <w:tcW w:w="1160" w:type="dxa"/>
            <w:vAlign w:val="bottom"/>
          </w:tcPr>
          <w:p>
            <w:pPr>
              <w:jc w:val="right"/>
              <w:ind w:right="17"/>
              <w:spacing w:after="0"/>
              <w:rPr>
                <w:sz w:val="20"/>
                <w:szCs w:val="20"/>
                <w:color w:val="auto"/>
              </w:rPr>
            </w:pPr>
            <w:r>
              <w:rPr>
                <w:rFonts w:ascii="Arial" w:cs="Arial" w:eastAsia="Arial" w:hAnsi="Arial"/>
                <w:sz w:val="13"/>
                <w:szCs w:val="13"/>
                <w:b w:val="1"/>
                <w:bCs w:val="1"/>
                <w:color w:val="auto"/>
              </w:rPr>
              <w:t>(I)</w:t>
            </w:r>
          </w:p>
        </w:tc>
        <w:tc>
          <w:tcPr>
            <w:tcW w:w="1200" w:type="dxa"/>
            <w:vAlign w:val="bottom"/>
          </w:tcPr>
          <w:p>
            <w:pPr>
              <w:jc w:val="right"/>
              <w:ind w:right="57"/>
              <w:spacing w:after="0"/>
              <w:rPr>
                <w:sz w:val="20"/>
                <w:szCs w:val="20"/>
                <w:color w:val="auto"/>
              </w:rPr>
            </w:pPr>
            <w:r>
              <w:rPr>
                <w:rFonts w:ascii="Arial" w:cs="Arial" w:eastAsia="Arial" w:hAnsi="Arial"/>
                <w:sz w:val="13"/>
                <w:szCs w:val="13"/>
                <w:b w:val="1"/>
                <w:bCs w:val="1"/>
                <w:color w:val="auto"/>
              </w:rPr>
              <w:t>(J)</w:t>
            </w:r>
          </w:p>
        </w:tc>
        <w:tc>
          <w:tcPr>
            <w:tcW w:w="0" w:type="dxa"/>
            <w:vAlign w:val="bottom"/>
          </w:tcPr>
          <w:p>
            <w:pPr>
              <w:spacing w:after="0"/>
              <w:rPr>
                <w:sz w:val="1"/>
                <w:szCs w:val="1"/>
                <w:color w:val="auto"/>
              </w:rPr>
            </w:pPr>
          </w:p>
        </w:tc>
      </w:tr>
      <w:tr>
        <w:trPr>
          <w:trHeight w:val="62"/>
        </w:trPr>
        <w:tc>
          <w:tcPr>
            <w:tcW w:w="120" w:type="dxa"/>
            <w:vAlign w:val="bottom"/>
            <w:tcBorders>
              <w:bottom w:val="single" w:sz="8" w:color="D9BA05"/>
            </w:tcBorders>
          </w:tcPr>
          <w:p>
            <w:pPr>
              <w:spacing w:after="0"/>
              <w:rPr>
                <w:sz w:val="5"/>
                <w:szCs w:val="5"/>
                <w:color w:val="auto"/>
              </w:rPr>
            </w:pPr>
          </w:p>
        </w:tc>
        <w:tc>
          <w:tcPr>
            <w:tcW w:w="1000" w:type="dxa"/>
            <w:vAlign w:val="bottom"/>
            <w:tcBorders>
              <w:bottom w:val="single" w:sz="8" w:color="D9BA05"/>
            </w:tcBorders>
          </w:tcPr>
          <w:p>
            <w:pPr>
              <w:spacing w:after="0"/>
              <w:rPr>
                <w:sz w:val="5"/>
                <w:szCs w:val="5"/>
                <w:color w:val="auto"/>
              </w:rPr>
            </w:pPr>
          </w:p>
        </w:tc>
        <w:tc>
          <w:tcPr>
            <w:tcW w:w="920" w:type="dxa"/>
            <w:vAlign w:val="bottom"/>
            <w:tcBorders>
              <w:bottom w:val="single" w:sz="8" w:color="D9BA05"/>
            </w:tcBorders>
          </w:tcPr>
          <w:p>
            <w:pPr>
              <w:spacing w:after="0"/>
              <w:rPr>
                <w:sz w:val="5"/>
                <w:szCs w:val="5"/>
                <w:color w:val="auto"/>
              </w:rPr>
            </w:pPr>
          </w:p>
        </w:tc>
        <w:tc>
          <w:tcPr>
            <w:tcW w:w="60" w:type="dxa"/>
            <w:vAlign w:val="bottom"/>
            <w:tcBorders>
              <w:bottom w:val="single" w:sz="8" w:color="D9BA05"/>
            </w:tcBorders>
          </w:tcPr>
          <w:p>
            <w:pPr>
              <w:spacing w:after="0"/>
              <w:rPr>
                <w:sz w:val="5"/>
                <w:szCs w:val="5"/>
                <w:color w:val="auto"/>
              </w:rPr>
            </w:pPr>
          </w:p>
        </w:tc>
        <w:tc>
          <w:tcPr>
            <w:tcW w:w="1360" w:type="dxa"/>
            <w:vAlign w:val="bottom"/>
            <w:tcBorders>
              <w:bottom w:val="single" w:sz="8" w:color="D9BA05"/>
            </w:tcBorders>
          </w:tcPr>
          <w:p>
            <w:pPr>
              <w:spacing w:after="0"/>
              <w:rPr>
                <w:sz w:val="5"/>
                <w:szCs w:val="5"/>
                <w:color w:val="auto"/>
              </w:rPr>
            </w:pPr>
          </w:p>
        </w:tc>
        <w:tc>
          <w:tcPr>
            <w:tcW w:w="780" w:type="dxa"/>
            <w:vAlign w:val="bottom"/>
            <w:tcBorders>
              <w:bottom w:val="single" w:sz="8" w:color="D9BA05"/>
            </w:tcBorders>
          </w:tcPr>
          <w:p>
            <w:pPr>
              <w:spacing w:after="0"/>
              <w:rPr>
                <w:sz w:val="5"/>
                <w:szCs w:val="5"/>
                <w:color w:val="auto"/>
              </w:rPr>
            </w:pPr>
          </w:p>
        </w:tc>
        <w:tc>
          <w:tcPr>
            <w:tcW w:w="840" w:type="dxa"/>
            <w:vAlign w:val="bottom"/>
            <w:tcBorders>
              <w:bottom w:val="single" w:sz="8" w:color="D9BA05"/>
            </w:tcBorders>
          </w:tcPr>
          <w:p>
            <w:pPr>
              <w:spacing w:after="0"/>
              <w:rPr>
                <w:sz w:val="5"/>
                <w:szCs w:val="5"/>
                <w:color w:val="auto"/>
              </w:rPr>
            </w:pPr>
          </w:p>
        </w:tc>
        <w:tc>
          <w:tcPr>
            <w:tcW w:w="60" w:type="dxa"/>
            <w:vAlign w:val="bottom"/>
            <w:tcBorders>
              <w:bottom w:val="single" w:sz="8" w:color="D9BA05"/>
            </w:tcBorders>
          </w:tcPr>
          <w:p>
            <w:pPr>
              <w:spacing w:after="0"/>
              <w:rPr>
                <w:sz w:val="5"/>
                <w:szCs w:val="5"/>
                <w:color w:val="auto"/>
              </w:rPr>
            </w:pPr>
          </w:p>
        </w:tc>
        <w:tc>
          <w:tcPr>
            <w:tcW w:w="960" w:type="dxa"/>
            <w:vAlign w:val="bottom"/>
            <w:tcBorders>
              <w:bottom w:val="single" w:sz="8" w:color="D9BA05"/>
            </w:tcBorders>
          </w:tcPr>
          <w:p>
            <w:pPr>
              <w:spacing w:after="0"/>
              <w:rPr>
                <w:sz w:val="5"/>
                <w:szCs w:val="5"/>
                <w:color w:val="auto"/>
              </w:rPr>
            </w:pPr>
          </w:p>
        </w:tc>
        <w:tc>
          <w:tcPr>
            <w:tcW w:w="940" w:type="dxa"/>
            <w:vAlign w:val="bottom"/>
            <w:tcBorders>
              <w:bottom w:val="single" w:sz="8" w:color="D9BA05"/>
            </w:tcBorders>
          </w:tcPr>
          <w:p>
            <w:pPr>
              <w:spacing w:after="0"/>
              <w:rPr>
                <w:sz w:val="5"/>
                <w:szCs w:val="5"/>
                <w:color w:val="auto"/>
              </w:rPr>
            </w:pPr>
          </w:p>
        </w:tc>
        <w:tc>
          <w:tcPr>
            <w:tcW w:w="1160" w:type="dxa"/>
            <w:vAlign w:val="bottom"/>
            <w:tcBorders>
              <w:bottom w:val="single" w:sz="8" w:color="D9BA05"/>
            </w:tcBorders>
          </w:tcPr>
          <w:p>
            <w:pPr>
              <w:spacing w:after="0"/>
              <w:rPr>
                <w:sz w:val="5"/>
                <w:szCs w:val="5"/>
                <w:color w:val="auto"/>
              </w:rPr>
            </w:pPr>
          </w:p>
        </w:tc>
        <w:tc>
          <w:tcPr>
            <w:tcW w:w="1200" w:type="dxa"/>
            <w:vAlign w:val="bottom"/>
            <w:tcBorders>
              <w:bottom w:val="single" w:sz="8" w:color="D9BA05"/>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0" w:type="dxa"/>
            <w:vAlign w:val="bottom"/>
          </w:tcPr>
          <w:p>
            <w:pPr>
              <w:jc w:val="right"/>
              <w:ind w:right="97"/>
              <w:spacing w:after="0"/>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EQUITY</w:t>
            </w:r>
          </w:p>
        </w:tc>
        <w:tc>
          <w:tcPr>
            <w:tcW w:w="12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INCENTIVE</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12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PLAN</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INCENTIVE</w:t>
            </w:r>
          </w:p>
        </w:tc>
        <w:tc>
          <w:tcPr>
            <w:tcW w:w="12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6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PLAN</w:t>
            </w:r>
          </w:p>
        </w:tc>
        <w:tc>
          <w:tcPr>
            <w:tcW w:w="12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MARKET OR</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MARKET</w:t>
            </w:r>
          </w:p>
        </w:tc>
        <w:tc>
          <w:tcPr>
            <w:tcW w:w="11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AWARDS:</w:t>
            </w:r>
          </w:p>
        </w:tc>
        <w:tc>
          <w:tcPr>
            <w:tcW w:w="12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PAYOUT</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NUMBER OF</w:t>
            </w:r>
          </w:p>
        </w:tc>
        <w:tc>
          <w:tcPr>
            <w:tcW w:w="940" w:type="dxa"/>
            <w:vAlign w:val="bottom"/>
            <w:vMerge w:val="continue"/>
          </w:tcPr>
          <w:p>
            <w:pPr>
              <w:spacing w:after="0"/>
              <w:rPr>
                <w:sz w:val="11"/>
                <w:szCs w:val="11"/>
                <w:color w:val="auto"/>
              </w:rPr>
            </w:pPr>
          </w:p>
        </w:tc>
        <w:tc>
          <w:tcPr>
            <w:tcW w:w="116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NUMBER OF</w:t>
            </w:r>
          </w:p>
        </w:tc>
        <w:tc>
          <w:tcPr>
            <w:tcW w:w="12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NUMBER OF</w:t>
            </w:r>
          </w:p>
        </w:tc>
        <w:tc>
          <w:tcPr>
            <w:tcW w:w="136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NUMBER OF</w:t>
            </w:r>
          </w:p>
        </w:tc>
        <w:tc>
          <w:tcPr>
            <w:tcW w:w="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VALUE OF</w:t>
            </w:r>
          </w:p>
        </w:tc>
        <w:tc>
          <w:tcPr>
            <w:tcW w:w="116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UNEARNED</w:t>
            </w:r>
          </w:p>
        </w:tc>
        <w:tc>
          <w:tcPr>
            <w:tcW w:w="12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UNEARNED</w:t>
            </w: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60" w:type="dxa"/>
            <w:vAlign w:val="bottom"/>
          </w:tcPr>
          <w:p>
            <w:pPr>
              <w:jc w:val="right"/>
              <w:ind w:right="37"/>
              <w:spacing w:after="0" w:line="126" w:lineRule="exact"/>
              <w:rPr>
                <w:sz w:val="20"/>
                <w:szCs w:val="20"/>
                <w:color w:val="auto"/>
              </w:rPr>
            </w:pPr>
            <w:r>
              <w:rPr>
                <w:rFonts w:ascii="Arial" w:cs="Arial" w:eastAsia="Arial" w:hAnsi="Arial"/>
                <w:sz w:val="13"/>
                <w:szCs w:val="13"/>
                <w:b w:val="1"/>
                <w:bCs w:val="1"/>
                <w:color w:val="auto"/>
              </w:rPr>
              <w:t>SHARES OR</w:t>
            </w:r>
          </w:p>
        </w:tc>
        <w:tc>
          <w:tcPr>
            <w:tcW w:w="940" w:type="dxa"/>
            <w:vAlign w:val="bottom"/>
          </w:tcPr>
          <w:p>
            <w:pPr>
              <w:jc w:val="right"/>
              <w:ind w:right="37"/>
              <w:spacing w:after="0" w:line="126" w:lineRule="exact"/>
              <w:rPr>
                <w:sz w:val="20"/>
                <w:szCs w:val="20"/>
                <w:color w:val="auto"/>
              </w:rPr>
            </w:pPr>
            <w:r>
              <w:rPr>
                <w:rFonts w:ascii="Arial" w:cs="Arial" w:eastAsia="Arial" w:hAnsi="Arial"/>
                <w:sz w:val="13"/>
                <w:szCs w:val="13"/>
                <w:b w:val="1"/>
                <w:bCs w:val="1"/>
                <w:color w:val="auto"/>
              </w:rPr>
              <w:t>SHARES OR</w:t>
            </w:r>
          </w:p>
        </w:tc>
        <w:tc>
          <w:tcPr>
            <w:tcW w:w="1160" w:type="dxa"/>
            <w:vAlign w:val="bottom"/>
          </w:tcPr>
          <w:p>
            <w:pPr>
              <w:jc w:val="right"/>
              <w:ind w:right="57"/>
              <w:spacing w:after="0" w:line="126" w:lineRule="exact"/>
              <w:rPr>
                <w:sz w:val="20"/>
                <w:szCs w:val="20"/>
                <w:color w:val="auto"/>
              </w:rPr>
            </w:pPr>
            <w:r>
              <w:rPr>
                <w:rFonts w:ascii="Arial" w:cs="Arial" w:eastAsia="Arial" w:hAnsi="Arial"/>
                <w:sz w:val="13"/>
                <w:szCs w:val="13"/>
                <w:b w:val="1"/>
                <w:bCs w:val="1"/>
                <w:color w:val="auto"/>
              </w:rPr>
              <w:t>SHARES,</w:t>
            </w:r>
          </w:p>
        </w:tc>
        <w:tc>
          <w:tcPr>
            <w:tcW w:w="1200" w:type="dxa"/>
            <w:vAlign w:val="bottom"/>
          </w:tcPr>
          <w:p>
            <w:pPr>
              <w:jc w:val="right"/>
              <w:ind w:right="97"/>
              <w:spacing w:after="0" w:line="126" w:lineRule="exact"/>
              <w:rPr>
                <w:sz w:val="20"/>
                <w:szCs w:val="20"/>
                <w:color w:val="auto"/>
              </w:rPr>
            </w:pPr>
            <w:r>
              <w:rPr>
                <w:rFonts w:ascii="Arial" w:cs="Arial" w:eastAsia="Arial" w:hAnsi="Arial"/>
                <w:sz w:val="13"/>
                <w:szCs w:val="13"/>
                <w:b w:val="1"/>
                <w:bCs w:val="1"/>
                <w:color w:val="auto"/>
              </w:rPr>
              <w:t>SHARES,</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SECURITIES</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SECURITIES</w:t>
            </w:r>
          </w:p>
        </w:tc>
        <w:tc>
          <w:tcPr>
            <w:tcW w:w="780" w:type="dxa"/>
            <w:vAlign w:val="bottom"/>
            <w:vMerge w:val="restart"/>
          </w:tcPr>
          <w:p>
            <w:pPr>
              <w:jc w:val="right"/>
              <w:ind w:right="37"/>
              <w:spacing w:after="0"/>
              <w:rPr>
                <w:sz w:val="20"/>
                <w:szCs w:val="20"/>
                <w:color w:val="auto"/>
              </w:rPr>
            </w:pPr>
            <w:r>
              <w:rPr>
                <w:rFonts w:ascii="Arial" w:cs="Arial" w:eastAsia="Arial" w:hAnsi="Arial"/>
                <w:sz w:val="13"/>
                <w:szCs w:val="13"/>
                <w:b w:val="1"/>
                <w:bCs w:val="1"/>
                <w:color w:val="auto"/>
              </w:rPr>
              <w:t>OPTION</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UNITS OF</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UNITS OF</w:t>
            </w:r>
          </w:p>
        </w:tc>
        <w:tc>
          <w:tcPr>
            <w:tcW w:w="116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UNITS OR</w:t>
            </w:r>
          </w:p>
        </w:tc>
        <w:tc>
          <w:tcPr>
            <w:tcW w:w="12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UNITS OR</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UNDERLYING</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UNDERLYING</w:t>
            </w:r>
          </w:p>
        </w:tc>
        <w:tc>
          <w:tcPr>
            <w:tcW w:w="780" w:type="dxa"/>
            <w:vAlign w:val="bottom"/>
            <w:vMerge w:val="continue"/>
          </w:tcPr>
          <w:p>
            <w:pPr>
              <w:spacing w:after="0"/>
              <w:rPr>
                <w:sz w:val="11"/>
                <w:szCs w:val="11"/>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3"/>
                <w:szCs w:val="13"/>
                <w:b w:val="1"/>
                <w:bCs w:val="1"/>
                <w:color w:val="auto"/>
              </w:rPr>
              <w:t>OPTION</w:t>
            </w:r>
          </w:p>
        </w:tc>
        <w:tc>
          <w:tcPr>
            <w:tcW w:w="9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STOCK THAT</w:t>
            </w:r>
          </w:p>
        </w:tc>
        <w:tc>
          <w:tcPr>
            <w:tcW w:w="94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STOCK THAT</w:t>
            </w:r>
          </w:p>
        </w:tc>
        <w:tc>
          <w:tcPr>
            <w:tcW w:w="116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OTHER RIGHTS</w:t>
            </w:r>
          </w:p>
        </w:tc>
        <w:tc>
          <w:tcPr>
            <w:tcW w:w="1200" w:type="dxa"/>
            <w:vAlign w:val="bottom"/>
          </w:tcPr>
          <w:p>
            <w:pPr>
              <w:jc w:val="right"/>
              <w:ind w:right="97"/>
              <w:spacing w:after="0" w:line="135" w:lineRule="exact"/>
              <w:rPr>
                <w:sz w:val="20"/>
                <w:szCs w:val="20"/>
                <w:color w:val="auto"/>
              </w:rPr>
            </w:pPr>
            <w:r>
              <w:rPr>
                <w:rFonts w:ascii="Arial" w:cs="Arial" w:eastAsia="Arial" w:hAnsi="Arial"/>
                <w:sz w:val="13"/>
                <w:szCs w:val="13"/>
                <w:b w:val="1"/>
                <w:bCs w:val="1"/>
                <w:color w:val="auto"/>
              </w:rPr>
              <w:t>OTHER RIGHTS</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b w:val="1"/>
                <w:bCs w:val="1"/>
                <w:color w:val="auto"/>
                <w:w w:val="95"/>
              </w:rPr>
              <w:t>UNEXERCISED</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UNEXERCISED</w:t>
            </w:r>
          </w:p>
        </w:tc>
        <w:tc>
          <w:tcPr>
            <w:tcW w:w="78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EXERCISE</w:t>
            </w:r>
          </w:p>
        </w:tc>
        <w:tc>
          <w:tcPr>
            <w:tcW w:w="900" w:type="dxa"/>
            <w:vAlign w:val="bottom"/>
            <w:gridSpan w:val="2"/>
            <w:vMerge w:val="continue"/>
          </w:tcPr>
          <w:p>
            <w:pPr>
              <w:spacing w:after="0"/>
              <w:rPr>
                <w:sz w:val="11"/>
                <w:szCs w:val="11"/>
                <w:color w:val="auto"/>
              </w:rPr>
            </w:pP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HAVE NOT</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HAVE NOT</w:t>
            </w:r>
          </w:p>
        </w:tc>
        <w:tc>
          <w:tcPr>
            <w:tcW w:w="11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THAT HAVE NOT</w:t>
            </w:r>
          </w:p>
        </w:tc>
        <w:tc>
          <w:tcPr>
            <w:tcW w:w="12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THAT HAVE NOT</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00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NAME</w:t>
            </w:r>
          </w:p>
        </w:tc>
        <w:tc>
          <w:tcPr>
            <w:tcW w:w="980" w:type="dxa"/>
            <w:vAlign w:val="bottom"/>
            <w:gridSpan w:val="2"/>
          </w:tcPr>
          <w:p>
            <w:pPr>
              <w:jc w:val="right"/>
              <w:ind w:right="100"/>
              <w:spacing w:after="0" w:line="135" w:lineRule="exact"/>
              <w:rPr>
                <w:sz w:val="20"/>
                <w:szCs w:val="20"/>
                <w:color w:val="auto"/>
              </w:rPr>
            </w:pPr>
            <w:r>
              <w:rPr>
                <w:rFonts w:ascii="Arial" w:cs="Arial" w:eastAsia="Arial" w:hAnsi="Arial"/>
                <w:sz w:val="13"/>
                <w:szCs w:val="13"/>
                <w:b w:val="1"/>
                <w:bCs w:val="1"/>
                <w:color w:val="auto"/>
              </w:rPr>
              <w:t>OPTIONS (#)</w:t>
            </w:r>
          </w:p>
        </w:tc>
        <w:tc>
          <w:tcPr>
            <w:tcW w:w="13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OPTIONS (#)</w:t>
            </w:r>
          </w:p>
        </w:tc>
        <w:tc>
          <w:tcPr>
            <w:tcW w:w="78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PRICE</w:t>
            </w:r>
          </w:p>
        </w:tc>
        <w:tc>
          <w:tcPr>
            <w:tcW w:w="900" w:type="dxa"/>
            <w:vAlign w:val="bottom"/>
            <w:gridSpan w:val="2"/>
          </w:tcPr>
          <w:p>
            <w:pPr>
              <w:jc w:val="right"/>
              <w:ind w:right="60"/>
              <w:spacing w:after="0" w:line="135" w:lineRule="exact"/>
              <w:rPr>
                <w:sz w:val="20"/>
                <w:szCs w:val="20"/>
                <w:color w:val="auto"/>
              </w:rPr>
            </w:pPr>
            <w:r>
              <w:rPr>
                <w:rFonts w:ascii="Arial" w:cs="Arial" w:eastAsia="Arial" w:hAnsi="Arial"/>
                <w:sz w:val="13"/>
                <w:szCs w:val="13"/>
                <w:b w:val="1"/>
                <w:bCs w:val="1"/>
                <w:color w:val="auto"/>
              </w:rPr>
              <w:t>EXPIRATION</w:t>
            </w:r>
          </w:p>
        </w:tc>
        <w:tc>
          <w:tcPr>
            <w:tcW w:w="96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VESTED</w:t>
            </w:r>
          </w:p>
        </w:tc>
        <w:tc>
          <w:tcPr>
            <w:tcW w:w="940" w:type="dxa"/>
            <w:vAlign w:val="bottom"/>
          </w:tcPr>
          <w:p>
            <w:pPr>
              <w:jc w:val="right"/>
              <w:ind w:right="37"/>
              <w:spacing w:after="0" w:line="135" w:lineRule="exact"/>
              <w:rPr>
                <w:sz w:val="20"/>
                <w:szCs w:val="20"/>
                <w:color w:val="auto"/>
              </w:rPr>
            </w:pPr>
            <w:r>
              <w:rPr>
                <w:rFonts w:ascii="Arial" w:cs="Arial" w:eastAsia="Arial" w:hAnsi="Arial"/>
                <w:sz w:val="13"/>
                <w:szCs w:val="13"/>
                <w:b w:val="1"/>
                <w:bCs w:val="1"/>
                <w:color w:val="auto"/>
              </w:rPr>
              <w:t>VESTED</w:t>
            </w:r>
          </w:p>
        </w:tc>
        <w:tc>
          <w:tcPr>
            <w:tcW w:w="1160" w:type="dxa"/>
            <w:vAlign w:val="bottom"/>
          </w:tcPr>
          <w:p>
            <w:pPr>
              <w:jc w:val="right"/>
              <w:ind w:right="17"/>
              <w:spacing w:after="0" w:line="135" w:lineRule="exact"/>
              <w:rPr>
                <w:sz w:val="20"/>
                <w:szCs w:val="20"/>
                <w:color w:val="auto"/>
              </w:rPr>
            </w:pPr>
            <w:r>
              <w:rPr>
                <w:rFonts w:ascii="Arial" w:cs="Arial" w:eastAsia="Arial" w:hAnsi="Arial"/>
                <w:sz w:val="13"/>
                <w:szCs w:val="13"/>
                <w:b w:val="1"/>
                <w:bCs w:val="1"/>
                <w:color w:val="auto"/>
              </w:rPr>
              <w:t>VESTED</w:t>
            </w:r>
          </w:p>
        </w:tc>
        <w:tc>
          <w:tcPr>
            <w:tcW w:w="1200" w:type="dxa"/>
            <w:vAlign w:val="bottom"/>
          </w:tcPr>
          <w:p>
            <w:pPr>
              <w:jc w:val="right"/>
              <w:ind w:right="57"/>
              <w:spacing w:after="0" w:line="135" w:lineRule="exact"/>
              <w:rPr>
                <w:sz w:val="20"/>
                <w:szCs w:val="20"/>
                <w:color w:val="auto"/>
              </w:rPr>
            </w:pPr>
            <w:r>
              <w:rPr>
                <w:rFonts w:ascii="Arial" w:cs="Arial" w:eastAsia="Arial" w:hAnsi="Arial"/>
                <w:sz w:val="13"/>
                <w:szCs w:val="13"/>
                <w:b w:val="1"/>
                <w:bCs w:val="1"/>
                <w:color w:val="auto"/>
              </w:rPr>
              <w:t>VESTED</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97"/>
              </w:rPr>
              <w:t>EXERCISABLE</w:t>
            </w:r>
          </w:p>
        </w:tc>
        <w:tc>
          <w:tcPr>
            <w:tcW w:w="1360" w:type="dxa"/>
            <w:vAlign w:val="bottom"/>
          </w:tcPr>
          <w:p>
            <w:pPr>
              <w:jc w:val="right"/>
              <w:spacing w:after="0"/>
              <w:rPr>
                <w:sz w:val="20"/>
                <w:szCs w:val="20"/>
                <w:color w:val="auto"/>
              </w:rPr>
            </w:pPr>
            <w:r>
              <w:rPr>
                <w:rFonts w:ascii="Arial" w:cs="Arial" w:eastAsia="Arial" w:hAnsi="Arial"/>
                <w:sz w:val="13"/>
                <w:szCs w:val="13"/>
                <w:b w:val="1"/>
                <w:bCs w:val="1"/>
                <w:color w:val="auto"/>
              </w:rPr>
              <w:t>UNEXERCISABLE</w:t>
            </w:r>
            <w:r>
              <w:rPr>
                <w:rFonts w:ascii="Arial" w:cs="Arial" w:eastAsia="Arial" w:hAnsi="Arial"/>
                <w:sz w:val="20"/>
                <w:szCs w:val="20"/>
                <w:b w:val="1"/>
                <w:bCs w:val="1"/>
                <w:color w:val="auto"/>
                <w:vertAlign w:val="superscript"/>
              </w:rPr>
              <w:t>(1)</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DATE</w:t>
            </w:r>
          </w:p>
        </w:tc>
        <w:tc>
          <w:tcPr>
            <w:tcW w:w="96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17"/>
              <w:spacing w:after="0"/>
              <w:rPr>
                <w:sz w:val="20"/>
                <w:szCs w:val="20"/>
                <w:color w:val="auto"/>
              </w:rPr>
            </w:pPr>
            <w:r>
              <w:rPr>
                <w:rFonts w:ascii="Arial" w:cs="Arial" w:eastAsia="Arial" w:hAnsi="Arial"/>
                <w:sz w:val="13"/>
                <w:szCs w:val="13"/>
                <w:b w:val="1"/>
                <w:bCs w:val="1"/>
                <w:color w:val="auto"/>
              </w:rPr>
              <w:t>(#)</w:t>
            </w:r>
          </w:p>
        </w:tc>
        <w:tc>
          <w:tcPr>
            <w:tcW w:w="1200" w:type="dxa"/>
            <w:vAlign w:val="bottom"/>
          </w:tcPr>
          <w:p>
            <w:pPr>
              <w:jc w:val="right"/>
              <w:ind w:right="57"/>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8"/>
        </w:trPr>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ind w:left="40"/>
              <w:spacing w:after="0"/>
              <w:rPr>
                <w:sz w:val="20"/>
                <w:szCs w:val="20"/>
                <w:color w:val="auto"/>
              </w:rPr>
            </w:pPr>
            <w:r>
              <w:rPr>
                <w:rFonts w:ascii="Arial" w:cs="Arial" w:eastAsia="Arial" w:hAnsi="Arial"/>
                <w:sz w:val="13"/>
                <w:szCs w:val="13"/>
                <w:b w:val="1"/>
                <w:bCs w:val="1"/>
                <w:color w:val="auto"/>
              </w:rPr>
              <w:t>Efraim</w:t>
            </w:r>
          </w:p>
        </w:tc>
        <w:tc>
          <w:tcPr>
            <w:tcW w:w="980" w:type="dxa"/>
            <w:vAlign w:val="bottom"/>
            <w:gridSpan w:val="2"/>
            <w:shd w:val="clear" w:color="auto" w:fill="E6E6E6"/>
          </w:tcPr>
          <w:p>
            <w:pPr>
              <w:jc w:val="right"/>
              <w:ind w:right="60"/>
              <w:spacing w:after="0"/>
              <w:rPr>
                <w:sz w:val="20"/>
                <w:szCs w:val="20"/>
                <w:color w:val="auto"/>
              </w:rPr>
            </w:pPr>
            <w:r>
              <w:rPr>
                <w:rFonts w:ascii="Arial" w:cs="Arial" w:eastAsia="Arial" w:hAnsi="Arial"/>
                <w:sz w:val="13"/>
                <w:szCs w:val="13"/>
                <w:color w:val="auto"/>
              </w:rPr>
              <w:t>200,000</w:t>
            </w:r>
          </w:p>
        </w:tc>
        <w:tc>
          <w:tcPr>
            <w:tcW w:w="136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16.87</w:t>
            </w:r>
          </w:p>
        </w:tc>
        <w:tc>
          <w:tcPr>
            <w:tcW w:w="900" w:type="dxa"/>
            <w:vAlign w:val="bottom"/>
            <w:gridSpan w:val="2"/>
            <w:shd w:val="clear" w:color="auto" w:fill="E6E6E6"/>
          </w:tcPr>
          <w:p>
            <w:pPr>
              <w:jc w:val="right"/>
              <w:ind w:right="60"/>
              <w:spacing w:after="0"/>
              <w:rPr>
                <w:sz w:val="20"/>
                <w:szCs w:val="20"/>
                <w:color w:val="auto"/>
              </w:rPr>
            </w:pPr>
            <w:r>
              <w:rPr>
                <w:rFonts w:ascii="Arial" w:cs="Arial" w:eastAsia="Arial" w:hAnsi="Arial"/>
                <w:sz w:val="13"/>
                <w:szCs w:val="13"/>
                <w:color w:val="auto"/>
              </w:rPr>
              <w:t>12/01/2030</w:t>
            </w:r>
          </w:p>
        </w:tc>
        <w:tc>
          <w:tcPr>
            <w:tcW w:w="960" w:type="dxa"/>
            <w:vAlign w:val="bottom"/>
            <w:shd w:val="clear" w:color="auto" w:fill="E6E6E6"/>
          </w:tcPr>
          <w:p>
            <w:pPr>
              <w:jc w:val="right"/>
              <w:ind w:right="17"/>
              <w:spacing w:after="0"/>
              <w:rPr>
                <w:sz w:val="20"/>
                <w:szCs w:val="20"/>
                <w:color w:val="auto"/>
              </w:rPr>
            </w:pPr>
            <w:r>
              <w:rPr>
                <w:rFonts w:ascii="Arial" w:cs="Arial" w:eastAsia="Arial" w:hAnsi="Arial"/>
                <w:sz w:val="13"/>
                <w:szCs w:val="13"/>
                <w:color w:val="auto"/>
              </w:rPr>
              <w:t>215,717</w:t>
            </w:r>
          </w:p>
        </w:tc>
        <w:tc>
          <w:tcPr>
            <w:tcW w:w="9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4,918,348</w:t>
            </w:r>
          </w:p>
        </w:tc>
        <w:tc>
          <w:tcPr>
            <w:tcW w:w="1160" w:type="dxa"/>
            <w:vAlign w:val="bottom"/>
            <w:shd w:val="clear" w:color="auto" w:fill="E6E6E6"/>
          </w:tcPr>
          <w:p>
            <w:pPr>
              <w:jc w:val="right"/>
              <w:ind w:right="17"/>
              <w:spacing w:after="0"/>
              <w:rPr>
                <w:sz w:val="20"/>
                <w:szCs w:val="20"/>
                <w:color w:val="auto"/>
              </w:rPr>
            </w:pPr>
            <w:r>
              <w:rPr>
                <w:rFonts w:ascii="Arial" w:cs="Arial" w:eastAsia="Arial" w:hAnsi="Arial"/>
                <w:sz w:val="13"/>
                <w:szCs w:val="13"/>
                <w:color w:val="auto"/>
              </w:rPr>
              <w:t>—</w:t>
            </w:r>
          </w:p>
        </w:tc>
        <w:tc>
          <w:tcPr>
            <w:tcW w:w="120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20" w:type="dxa"/>
            <w:vAlign w:val="bottom"/>
            <w:shd w:val="clear" w:color="auto" w:fill="E6E6E6"/>
          </w:tcPr>
          <w:p>
            <w:pPr>
              <w:spacing w:after="0"/>
              <w:rPr>
                <w:sz w:val="14"/>
                <w:szCs w:val="14"/>
                <w:color w:val="auto"/>
              </w:rPr>
            </w:pPr>
          </w:p>
        </w:tc>
        <w:tc>
          <w:tcPr>
            <w:tcW w:w="1000" w:type="dxa"/>
            <w:vAlign w:val="bottom"/>
            <w:shd w:val="clear" w:color="auto" w:fill="E6E6E6"/>
          </w:tcPr>
          <w:p>
            <w:pPr>
              <w:ind w:left="40"/>
              <w:spacing w:after="0"/>
              <w:rPr>
                <w:sz w:val="20"/>
                <w:szCs w:val="20"/>
                <w:color w:val="auto"/>
              </w:rPr>
            </w:pPr>
            <w:r>
              <w:rPr>
                <w:rFonts w:ascii="Arial" w:cs="Arial" w:eastAsia="Arial" w:hAnsi="Arial"/>
                <w:sz w:val="13"/>
                <w:szCs w:val="13"/>
                <w:b w:val="1"/>
                <w:bCs w:val="1"/>
                <w:color w:val="auto"/>
              </w:rPr>
              <w:t>Grinberg</w:t>
            </w: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3"/>
                <w:szCs w:val="13"/>
                <w:color w:val="auto"/>
              </w:rPr>
              <w:t>91,820</w:t>
            </w:r>
          </w:p>
        </w:tc>
        <w:tc>
          <w:tcPr>
            <w:tcW w:w="60" w:type="dxa"/>
            <w:vAlign w:val="bottom"/>
            <w:shd w:val="clear" w:color="auto" w:fill="E6E6E6"/>
          </w:tcPr>
          <w:p>
            <w:pPr>
              <w:spacing w:after="0"/>
              <w:rPr>
                <w:sz w:val="14"/>
                <w:szCs w:val="14"/>
                <w:color w:val="auto"/>
              </w:rPr>
            </w:pPr>
          </w:p>
        </w:tc>
        <w:tc>
          <w:tcPr>
            <w:tcW w:w="1360" w:type="dxa"/>
            <w:vAlign w:val="bottom"/>
            <w:shd w:val="clear" w:color="auto" w:fill="E6E6E6"/>
          </w:tcPr>
          <w:p>
            <w:pPr>
              <w:spacing w:after="0"/>
              <w:rPr>
                <w:sz w:val="14"/>
                <w:szCs w:val="14"/>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3"/>
                <w:szCs w:val="13"/>
                <w:color w:val="auto"/>
              </w:rPr>
              <w:t>27.62</w:t>
            </w:r>
          </w:p>
        </w:tc>
        <w:tc>
          <w:tcPr>
            <w:tcW w:w="900" w:type="dxa"/>
            <w:vAlign w:val="bottom"/>
            <w:gridSpan w:val="2"/>
            <w:vMerge w:val="restart"/>
            <w:shd w:val="clear" w:color="auto" w:fill="E6E6E6"/>
          </w:tcPr>
          <w:p>
            <w:pPr>
              <w:jc w:val="right"/>
              <w:ind w:right="60"/>
              <w:spacing w:after="0"/>
              <w:rPr>
                <w:sz w:val="20"/>
                <w:szCs w:val="20"/>
                <w:color w:val="auto"/>
              </w:rPr>
            </w:pPr>
            <w:r>
              <w:rPr>
                <w:rFonts w:ascii="Arial" w:cs="Arial" w:eastAsia="Arial" w:hAnsi="Arial"/>
                <w:sz w:val="13"/>
                <w:szCs w:val="13"/>
                <w:color w:val="auto"/>
              </w:rPr>
              <w:t>03/29/2031</w:t>
            </w:r>
          </w:p>
        </w:tc>
        <w:tc>
          <w:tcPr>
            <w:tcW w:w="960" w:type="dxa"/>
            <w:vAlign w:val="bottom"/>
            <w:shd w:val="clear" w:color="auto" w:fill="E6E6E6"/>
          </w:tcPr>
          <w:p>
            <w:pPr>
              <w:spacing w:after="0"/>
              <w:rPr>
                <w:sz w:val="14"/>
                <w:szCs w:val="14"/>
                <w:color w:val="auto"/>
              </w:rPr>
            </w:pPr>
          </w:p>
        </w:tc>
        <w:tc>
          <w:tcPr>
            <w:tcW w:w="940" w:type="dxa"/>
            <w:vAlign w:val="bottom"/>
            <w:shd w:val="clear" w:color="auto" w:fill="E6E6E6"/>
          </w:tcPr>
          <w:p>
            <w:pPr>
              <w:spacing w:after="0"/>
              <w:rPr>
                <w:sz w:val="14"/>
                <w:szCs w:val="14"/>
                <w:color w:val="auto"/>
              </w:rPr>
            </w:pPr>
          </w:p>
        </w:tc>
        <w:tc>
          <w:tcPr>
            <w:tcW w:w="1160" w:type="dxa"/>
            <w:vAlign w:val="bottom"/>
            <w:shd w:val="clear" w:color="auto" w:fill="E6E6E6"/>
          </w:tcPr>
          <w:p>
            <w:pPr>
              <w:spacing w:after="0"/>
              <w:rPr>
                <w:sz w:val="14"/>
                <w:szCs w:val="14"/>
                <w:color w:val="auto"/>
              </w:rPr>
            </w:pPr>
          </w:p>
        </w:tc>
        <w:tc>
          <w:tcPr>
            <w:tcW w:w="1200" w:type="dxa"/>
            <w:vAlign w:val="bottom"/>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 w:type="dxa"/>
            <w:vAlign w:val="bottom"/>
            <w:shd w:val="clear" w:color="auto" w:fill="E6E6E6"/>
          </w:tcPr>
          <w:p>
            <w:pPr>
              <w:spacing w:after="0"/>
              <w:rPr>
                <w:sz w:val="13"/>
                <w:szCs w:val="13"/>
                <w:color w:val="auto"/>
              </w:rPr>
            </w:pPr>
          </w:p>
        </w:tc>
        <w:tc>
          <w:tcPr>
            <w:tcW w:w="1000" w:type="dxa"/>
            <w:vAlign w:val="bottom"/>
            <w:shd w:val="clear" w:color="auto" w:fill="E6E6E6"/>
          </w:tcPr>
          <w:p>
            <w:pPr>
              <w:spacing w:after="0"/>
              <w:rPr>
                <w:sz w:val="13"/>
                <w:szCs w:val="13"/>
                <w:color w:val="auto"/>
              </w:rPr>
            </w:pPr>
          </w:p>
        </w:tc>
        <w:tc>
          <w:tcPr>
            <w:tcW w:w="920" w:type="dxa"/>
            <w:vAlign w:val="bottom"/>
            <w:vMerge w:val="continue"/>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1360" w:type="dxa"/>
            <w:vAlign w:val="bottom"/>
            <w:shd w:val="clear" w:color="auto" w:fill="E6E6E6"/>
          </w:tcPr>
          <w:p>
            <w:pPr>
              <w:spacing w:after="0"/>
              <w:rPr>
                <w:sz w:val="13"/>
                <w:szCs w:val="13"/>
                <w:color w:val="auto"/>
              </w:rPr>
            </w:pPr>
          </w:p>
        </w:tc>
        <w:tc>
          <w:tcPr>
            <w:tcW w:w="780" w:type="dxa"/>
            <w:vAlign w:val="bottom"/>
            <w:vMerge w:val="continue"/>
            <w:shd w:val="clear" w:color="auto" w:fill="E6E6E6"/>
          </w:tcPr>
          <w:p>
            <w:pPr>
              <w:spacing w:after="0"/>
              <w:rPr>
                <w:sz w:val="13"/>
                <w:szCs w:val="13"/>
                <w:color w:val="auto"/>
              </w:rPr>
            </w:pPr>
          </w:p>
        </w:tc>
        <w:tc>
          <w:tcPr>
            <w:tcW w:w="900" w:type="dxa"/>
            <w:vAlign w:val="bottom"/>
            <w:gridSpan w:val="2"/>
            <w:vMerge w:val="continue"/>
            <w:shd w:val="clear" w:color="auto" w:fill="E6E6E6"/>
          </w:tcPr>
          <w:p>
            <w:pPr>
              <w:spacing w:after="0"/>
              <w:rPr>
                <w:sz w:val="13"/>
                <w:szCs w:val="13"/>
                <w:color w:val="auto"/>
              </w:rPr>
            </w:pPr>
          </w:p>
        </w:tc>
        <w:tc>
          <w:tcPr>
            <w:tcW w:w="960" w:type="dxa"/>
            <w:vAlign w:val="bottom"/>
            <w:shd w:val="clear" w:color="auto" w:fill="E6E6E6"/>
          </w:tcPr>
          <w:p>
            <w:pPr>
              <w:spacing w:after="0"/>
              <w:rPr>
                <w:sz w:val="13"/>
                <w:szCs w:val="13"/>
                <w:color w:val="auto"/>
              </w:rPr>
            </w:pPr>
          </w:p>
        </w:tc>
        <w:tc>
          <w:tcPr>
            <w:tcW w:w="940" w:type="dxa"/>
            <w:vAlign w:val="bottom"/>
            <w:shd w:val="clear" w:color="auto" w:fill="E6E6E6"/>
          </w:tcPr>
          <w:p>
            <w:pPr>
              <w:spacing w:after="0"/>
              <w:rPr>
                <w:sz w:val="13"/>
                <w:szCs w:val="13"/>
                <w:color w:val="auto"/>
              </w:rPr>
            </w:pPr>
          </w:p>
        </w:tc>
        <w:tc>
          <w:tcPr>
            <w:tcW w:w="1160" w:type="dxa"/>
            <w:vAlign w:val="bottom"/>
            <w:shd w:val="clear" w:color="auto" w:fill="E6E6E6"/>
          </w:tcPr>
          <w:p>
            <w:pPr>
              <w:spacing w:after="0"/>
              <w:rPr>
                <w:sz w:val="13"/>
                <w:szCs w:val="13"/>
                <w:color w:val="auto"/>
              </w:rPr>
            </w:pPr>
          </w:p>
        </w:tc>
        <w:tc>
          <w:tcPr>
            <w:tcW w:w="120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2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63,302</w:t>
            </w:r>
          </w:p>
        </w:tc>
        <w:tc>
          <w:tcPr>
            <w:tcW w:w="60" w:type="dxa"/>
            <w:vAlign w:val="bottom"/>
            <w:shd w:val="clear" w:color="auto" w:fill="E6E6E6"/>
          </w:tcPr>
          <w:p>
            <w:pPr>
              <w:spacing w:after="0"/>
              <w:rPr>
                <w:sz w:val="24"/>
                <w:szCs w:val="24"/>
                <w:color w:val="auto"/>
              </w:rPr>
            </w:pPr>
          </w:p>
        </w:tc>
        <w:tc>
          <w:tcPr>
            <w:tcW w:w="1360" w:type="dxa"/>
            <w:vAlign w:val="bottom"/>
            <w:shd w:val="clear" w:color="auto" w:fill="E6E6E6"/>
          </w:tcPr>
          <w:p>
            <w:pPr>
              <w:spacing w:after="0"/>
              <w:rPr>
                <w:sz w:val="24"/>
                <w:szCs w:val="24"/>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38.04</w:t>
            </w:r>
          </w:p>
        </w:tc>
        <w:tc>
          <w:tcPr>
            <w:tcW w:w="900" w:type="dxa"/>
            <w:vAlign w:val="bottom"/>
            <w:gridSpan w:val="2"/>
            <w:shd w:val="clear" w:color="auto" w:fill="E6E6E6"/>
          </w:tcPr>
          <w:p>
            <w:pPr>
              <w:jc w:val="right"/>
              <w:ind w:right="60"/>
              <w:spacing w:after="0"/>
              <w:rPr>
                <w:sz w:val="20"/>
                <w:szCs w:val="20"/>
                <w:color w:val="auto"/>
              </w:rPr>
            </w:pPr>
            <w:r>
              <w:rPr>
                <w:rFonts w:ascii="Arial" w:cs="Arial" w:eastAsia="Arial" w:hAnsi="Arial"/>
                <w:sz w:val="13"/>
                <w:szCs w:val="13"/>
                <w:color w:val="auto"/>
              </w:rPr>
              <w:t>03/28/2032</w:t>
            </w:r>
          </w:p>
        </w:tc>
        <w:tc>
          <w:tcPr>
            <w:tcW w:w="96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116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20" w:type="dxa"/>
            <w:vAlign w:val="bottom"/>
            <w:shd w:val="clear" w:color="auto" w:fill="E6E6E6"/>
          </w:tcPr>
          <w:p>
            <w:pPr>
              <w:spacing w:after="0"/>
              <w:rPr>
                <w:sz w:val="5"/>
                <w:szCs w:val="5"/>
                <w:color w:val="auto"/>
              </w:rPr>
            </w:pPr>
          </w:p>
        </w:tc>
        <w:tc>
          <w:tcPr>
            <w:tcW w:w="1000" w:type="dxa"/>
            <w:vAlign w:val="bottom"/>
            <w:shd w:val="clear" w:color="auto" w:fill="E6E6E6"/>
          </w:tcPr>
          <w:p>
            <w:pPr>
              <w:spacing w:after="0"/>
              <w:rPr>
                <w:sz w:val="5"/>
                <w:szCs w:val="5"/>
                <w:color w:val="auto"/>
              </w:rPr>
            </w:pPr>
          </w:p>
        </w:tc>
        <w:tc>
          <w:tcPr>
            <w:tcW w:w="920" w:type="dxa"/>
            <w:vAlign w:val="bottom"/>
            <w:shd w:val="clear" w:color="auto" w:fill="E6E6E6"/>
          </w:tcPr>
          <w:p>
            <w:pPr>
              <w:spacing w:after="0"/>
              <w:rPr>
                <w:sz w:val="5"/>
                <w:szCs w:val="5"/>
                <w:color w:val="auto"/>
              </w:rPr>
            </w:pPr>
          </w:p>
        </w:tc>
        <w:tc>
          <w:tcPr>
            <w:tcW w:w="60" w:type="dxa"/>
            <w:vAlign w:val="bottom"/>
            <w:shd w:val="clear" w:color="auto" w:fill="E6E6E6"/>
          </w:tcPr>
          <w:p>
            <w:pPr>
              <w:spacing w:after="0"/>
              <w:rPr>
                <w:sz w:val="5"/>
                <w:szCs w:val="5"/>
                <w:color w:val="auto"/>
              </w:rPr>
            </w:pPr>
          </w:p>
        </w:tc>
        <w:tc>
          <w:tcPr>
            <w:tcW w:w="1360" w:type="dxa"/>
            <w:vAlign w:val="bottom"/>
            <w:shd w:val="clear" w:color="auto" w:fill="E6E6E6"/>
          </w:tcPr>
          <w:p>
            <w:pPr>
              <w:spacing w:after="0"/>
              <w:rPr>
                <w:sz w:val="5"/>
                <w:szCs w:val="5"/>
                <w:color w:val="auto"/>
              </w:rPr>
            </w:pPr>
          </w:p>
        </w:tc>
        <w:tc>
          <w:tcPr>
            <w:tcW w:w="780" w:type="dxa"/>
            <w:vAlign w:val="bottom"/>
            <w:shd w:val="clear" w:color="auto" w:fill="E6E6E6"/>
          </w:tcPr>
          <w:p>
            <w:pPr>
              <w:spacing w:after="0"/>
              <w:rPr>
                <w:sz w:val="5"/>
                <w:szCs w:val="5"/>
                <w:color w:val="auto"/>
              </w:rPr>
            </w:pPr>
          </w:p>
        </w:tc>
        <w:tc>
          <w:tcPr>
            <w:tcW w:w="900" w:type="dxa"/>
            <w:vAlign w:val="bottom"/>
            <w:gridSpan w:val="2"/>
            <w:shd w:val="clear" w:color="auto" w:fill="E6E6E6"/>
          </w:tcPr>
          <w:p>
            <w:pPr>
              <w:spacing w:after="0"/>
              <w:rPr>
                <w:sz w:val="5"/>
                <w:szCs w:val="5"/>
                <w:color w:val="auto"/>
              </w:rPr>
            </w:pPr>
          </w:p>
        </w:tc>
        <w:tc>
          <w:tcPr>
            <w:tcW w:w="960" w:type="dxa"/>
            <w:vAlign w:val="bottom"/>
            <w:shd w:val="clear" w:color="auto" w:fill="E6E6E6"/>
          </w:tcPr>
          <w:p>
            <w:pPr>
              <w:spacing w:after="0"/>
              <w:rPr>
                <w:sz w:val="5"/>
                <w:szCs w:val="5"/>
                <w:color w:val="auto"/>
              </w:rPr>
            </w:pPr>
          </w:p>
        </w:tc>
        <w:tc>
          <w:tcPr>
            <w:tcW w:w="940" w:type="dxa"/>
            <w:vAlign w:val="bottom"/>
            <w:shd w:val="clear" w:color="auto" w:fill="E6E6E6"/>
          </w:tcPr>
          <w:p>
            <w:pPr>
              <w:spacing w:after="0"/>
              <w:rPr>
                <w:sz w:val="5"/>
                <w:szCs w:val="5"/>
                <w:color w:val="auto"/>
              </w:rPr>
            </w:pPr>
          </w:p>
        </w:tc>
        <w:tc>
          <w:tcPr>
            <w:tcW w:w="1160" w:type="dxa"/>
            <w:vAlign w:val="bottom"/>
            <w:shd w:val="clear" w:color="auto" w:fill="E6E6E6"/>
          </w:tcPr>
          <w:p>
            <w:pPr>
              <w:spacing w:after="0"/>
              <w:rPr>
                <w:sz w:val="5"/>
                <w:szCs w:val="5"/>
                <w:color w:val="auto"/>
              </w:rPr>
            </w:pPr>
          </w:p>
        </w:tc>
        <w:tc>
          <w:tcPr>
            <w:tcW w:w="120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1000" w:type="dxa"/>
            <w:vAlign w:val="bottom"/>
          </w:tcPr>
          <w:p>
            <w:pPr>
              <w:ind w:left="40"/>
              <w:spacing w:after="0"/>
              <w:rPr>
                <w:sz w:val="20"/>
                <w:szCs w:val="20"/>
                <w:color w:val="auto"/>
              </w:rPr>
            </w:pPr>
            <w:r>
              <w:rPr>
                <w:rFonts w:ascii="Arial" w:cs="Arial" w:eastAsia="Arial" w:hAnsi="Arial"/>
                <w:sz w:val="13"/>
                <w:szCs w:val="13"/>
                <w:b w:val="1"/>
                <w:bCs w:val="1"/>
                <w:color w:val="auto"/>
              </w:rPr>
              <w:t>Sallie</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10,534</w:t>
            </w:r>
          </w:p>
        </w:tc>
        <w:tc>
          <w:tcPr>
            <w:tcW w:w="1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27.74</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04/15/2026</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55,060</w:t>
            </w:r>
          </w:p>
        </w:tc>
        <w:tc>
          <w:tcPr>
            <w:tcW w:w="940" w:type="dxa"/>
            <w:vAlign w:val="bottom"/>
          </w:tcPr>
          <w:p>
            <w:pPr>
              <w:jc w:val="right"/>
              <w:spacing w:after="0"/>
              <w:rPr>
                <w:sz w:val="20"/>
                <w:szCs w:val="20"/>
                <w:color w:val="auto"/>
              </w:rPr>
            </w:pPr>
            <w:r>
              <w:rPr>
                <w:rFonts w:ascii="Arial" w:cs="Arial" w:eastAsia="Arial" w:hAnsi="Arial"/>
                <w:sz w:val="13"/>
                <w:szCs w:val="13"/>
                <w:color w:val="auto"/>
              </w:rPr>
              <w:t>1,255,368</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3"/>
                <w:szCs w:val="13"/>
                <w:b w:val="1"/>
                <w:bCs w:val="1"/>
                <w:color w:val="auto"/>
              </w:rPr>
              <w:t>DeMarsilis</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13,660</w:t>
            </w:r>
          </w:p>
        </w:tc>
        <w:tc>
          <w:tcPr>
            <w:tcW w:w="13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23.35</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04/17/2027</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3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55,160</w:t>
            </w:r>
          </w:p>
        </w:tc>
        <w:tc>
          <w:tcPr>
            <w:tcW w:w="1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12.42</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06/16/2030</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23,000</w:t>
            </w:r>
          </w:p>
        </w:tc>
        <w:tc>
          <w:tcPr>
            <w:tcW w:w="1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16.87</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12/01/2030</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18,215</w:t>
            </w:r>
          </w:p>
        </w:tc>
        <w:tc>
          <w:tcPr>
            <w:tcW w:w="1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27.62</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03/29/2031</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16,458</w:t>
            </w:r>
          </w:p>
        </w:tc>
        <w:tc>
          <w:tcPr>
            <w:tcW w:w="1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38.04</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03/28/2032</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gridSpan w:val="2"/>
          </w:tcPr>
          <w:p>
            <w:pPr>
              <w:spacing w:after="0"/>
              <w:rPr>
                <w:sz w:val="5"/>
                <w:szCs w:val="5"/>
                <w:color w:val="auto"/>
              </w:rPr>
            </w:pPr>
          </w:p>
        </w:tc>
        <w:tc>
          <w:tcPr>
            <w:tcW w:w="1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gridSpan w:val="2"/>
          </w:tcPr>
          <w:p>
            <w:pPr>
              <w:spacing w:after="0"/>
              <w:rPr>
                <w:sz w:val="5"/>
                <w:szCs w:val="5"/>
                <w:color w:val="auto"/>
              </w:rPr>
            </w:pPr>
          </w:p>
        </w:tc>
        <w:tc>
          <w:tcPr>
            <w:tcW w:w="9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ind w:left="40"/>
              <w:spacing w:after="0"/>
              <w:rPr>
                <w:sz w:val="20"/>
                <w:szCs w:val="20"/>
                <w:color w:val="auto"/>
              </w:rPr>
            </w:pPr>
            <w:r>
              <w:rPr>
                <w:rFonts w:ascii="Arial" w:cs="Arial" w:eastAsia="Arial" w:hAnsi="Arial"/>
                <w:sz w:val="13"/>
                <w:szCs w:val="13"/>
                <w:b w:val="1"/>
                <w:bCs w:val="1"/>
                <w:color w:val="auto"/>
              </w:rPr>
              <w:t>Behzad</w:t>
            </w:r>
          </w:p>
        </w:tc>
        <w:tc>
          <w:tcPr>
            <w:tcW w:w="980" w:type="dxa"/>
            <w:vAlign w:val="bottom"/>
            <w:gridSpan w:val="2"/>
            <w:shd w:val="clear" w:color="auto" w:fill="E6E6E6"/>
          </w:tcPr>
          <w:p>
            <w:pPr>
              <w:jc w:val="right"/>
              <w:ind w:right="60"/>
              <w:spacing w:after="0"/>
              <w:rPr>
                <w:sz w:val="20"/>
                <w:szCs w:val="20"/>
                <w:color w:val="auto"/>
              </w:rPr>
            </w:pPr>
            <w:r>
              <w:rPr>
                <w:rFonts w:ascii="Arial" w:cs="Arial" w:eastAsia="Arial" w:hAnsi="Arial"/>
                <w:sz w:val="13"/>
                <w:szCs w:val="13"/>
                <w:color w:val="auto"/>
              </w:rPr>
              <w:t>100,000</w:t>
            </w:r>
          </w:p>
        </w:tc>
        <w:tc>
          <w:tcPr>
            <w:tcW w:w="1360" w:type="dxa"/>
            <w:vAlign w:val="bottom"/>
            <w:shd w:val="clear" w:color="auto" w:fill="E6E6E6"/>
          </w:tcPr>
          <w:p>
            <w:pPr>
              <w:spacing w:after="0"/>
              <w:rPr>
                <w:sz w:val="17"/>
                <w:szCs w:val="17"/>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12.42</w:t>
            </w:r>
          </w:p>
        </w:tc>
        <w:tc>
          <w:tcPr>
            <w:tcW w:w="900" w:type="dxa"/>
            <w:vAlign w:val="bottom"/>
            <w:gridSpan w:val="2"/>
            <w:shd w:val="clear" w:color="auto" w:fill="E6E6E6"/>
          </w:tcPr>
          <w:p>
            <w:pPr>
              <w:jc w:val="right"/>
              <w:ind w:right="60"/>
              <w:spacing w:after="0"/>
              <w:rPr>
                <w:sz w:val="20"/>
                <w:szCs w:val="20"/>
                <w:color w:val="auto"/>
              </w:rPr>
            </w:pPr>
            <w:r>
              <w:rPr>
                <w:rFonts w:ascii="Arial" w:cs="Arial" w:eastAsia="Arial" w:hAnsi="Arial"/>
                <w:sz w:val="13"/>
                <w:szCs w:val="13"/>
                <w:color w:val="auto"/>
              </w:rPr>
              <w:t>06/16/2030</w:t>
            </w:r>
          </w:p>
        </w:tc>
        <w:tc>
          <w:tcPr>
            <w:tcW w:w="960" w:type="dxa"/>
            <w:vAlign w:val="bottom"/>
            <w:shd w:val="clear" w:color="auto" w:fill="E6E6E6"/>
          </w:tcPr>
          <w:p>
            <w:pPr>
              <w:jc w:val="right"/>
              <w:ind w:right="17"/>
              <w:spacing w:after="0"/>
              <w:rPr>
                <w:sz w:val="20"/>
                <w:szCs w:val="20"/>
                <w:color w:val="auto"/>
              </w:rPr>
            </w:pPr>
            <w:r>
              <w:rPr>
                <w:rFonts w:ascii="Arial" w:cs="Arial" w:eastAsia="Arial" w:hAnsi="Arial"/>
                <w:sz w:val="13"/>
                <w:szCs w:val="13"/>
                <w:color w:val="auto"/>
              </w:rPr>
              <w:t>50,824</w:t>
            </w:r>
          </w:p>
        </w:tc>
        <w:tc>
          <w:tcPr>
            <w:tcW w:w="9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1,158,787</w:t>
            </w:r>
          </w:p>
        </w:tc>
        <w:tc>
          <w:tcPr>
            <w:tcW w:w="1160" w:type="dxa"/>
            <w:vAlign w:val="bottom"/>
            <w:shd w:val="clear" w:color="auto" w:fill="E6E6E6"/>
          </w:tcPr>
          <w:p>
            <w:pPr>
              <w:jc w:val="right"/>
              <w:ind w:right="17"/>
              <w:spacing w:after="0"/>
              <w:rPr>
                <w:sz w:val="20"/>
                <w:szCs w:val="20"/>
                <w:color w:val="auto"/>
              </w:rPr>
            </w:pPr>
            <w:r>
              <w:rPr>
                <w:rFonts w:ascii="Arial" w:cs="Arial" w:eastAsia="Arial" w:hAnsi="Arial"/>
                <w:sz w:val="13"/>
                <w:szCs w:val="13"/>
                <w:color w:val="auto"/>
              </w:rPr>
              <w:t>—</w:t>
            </w:r>
          </w:p>
        </w:tc>
        <w:tc>
          <w:tcPr>
            <w:tcW w:w="120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20" w:type="dxa"/>
            <w:vAlign w:val="bottom"/>
            <w:shd w:val="clear" w:color="auto" w:fill="E6E6E6"/>
          </w:tcPr>
          <w:p>
            <w:pPr>
              <w:spacing w:after="0"/>
              <w:rPr>
                <w:sz w:val="14"/>
                <w:szCs w:val="14"/>
                <w:color w:val="auto"/>
              </w:rPr>
            </w:pPr>
          </w:p>
        </w:tc>
        <w:tc>
          <w:tcPr>
            <w:tcW w:w="1000" w:type="dxa"/>
            <w:vAlign w:val="bottom"/>
            <w:shd w:val="clear" w:color="auto" w:fill="E6E6E6"/>
          </w:tcPr>
          <w:p>
            <w:pPr>
              <w:ind w:left="40"/>
              <w:spacing w:after="0"/>
              <w:rPr>
                <w:sz w:val="20"/>
                <w:szCs w:val="20"/>
                <w:color w:val="auto"/>
              </w:rPr>
            </w:pPr>
            <w:r>
              <w:rPr>
                <w:rFonts w:ascii="Arial" w:cs="Arial" w:eastAsia="Arial" w:hAnsi="Arial"/>
                <w:sz w:val="13"/>
                <w:szCs w:val="13"/>
                <w:b w:val="1"/>
                <w:bCs w:val="1"/>
                <w:color w:val="auto"/>
              </w:rPr>
              <w:t>Soltani</w:t>
            </w:r>
          </w:p>
        </w:tc>
        <w:tc>
          <w:tcPr>
            <w:tcW w:w="920" w:type="dxa"/>
            <w:vAlign w:val="bottom"/>
            <w:vMerge w:val="restart"/>
            <w:shd w:val="clear" w:color="auto" w:fill="E6E6E6"/>
          </w:tcPr>
          <w:p>
            <w:pPr>
              <w:jc w:val="right"/>
              <w:spacing w:after="0"/>
              <w:rPr>
                <w:sz w:val="20"/>
                <w:szCs w:val="20"/>
                <w:color w:val="auto"/>
              </w:rPr>
            </w:pPr>
            <w:r>
              <w:rPr>
                <w:rFonts w:ascii="Arial" w:cs="Arial" w:eastAsia="Arial" w:hAnsi="Arial"/>
                <w:sz w:val="13"/>
                <w:szCs w:val="13"/>
                <w:color w:val="auto"/>
              </w:rPr>
              <w:t>16,000</w:t>
            </w:r>
          </w:p>
        </w:tc>
        <w:tc>
          <w:tcPr>
            <w:tcW w:w="60" w:type="dxa"/>
            <w:vAlign w:val="bottom"/>
            <w:shd w:val="clear" w:color="auto" w:fill="E6E6E6"/>
          </w:tcPr>
          <w:p>
            <w:pPr>
              <w:spacing w:after="0"/>
              <w:rPr>
                <w:sz w:val="14"/>
                <w:szCs w:val="14"/>
                <w:color w:val="auto"/>
              </w:rPr>
            </w:pPr>
          </w:p>
        </w:tc>
        <w:tc>
          <w:tcPr>
            <w:tcW w:w="1360" w:type="dxa"/>
            <w:vAlign w:val="bottom"/>
            <w:shd w:val="clear" w:color="auto" w:fill="E6E6E6"/>
          </w:tcPr>
          <w:p>
            <w:pPr>
              <w:spacing w:after="0"/>
              <w:rPr>
                <w:sz w:val="14"/>
                <w:szCs w:val="14"/>
                <w:color w:val="auto"/>
              </w:rPr>
            </w:pPr>
          </w:p>
        </w:tc>
        <w:tc>
          <w:tcPr>
            <w:tcW w:w="780" w:type="dxa"/>
            <w:vAlign w:val="bottom"/>
            <w:vMerge w:val="restart"/>
            <w:shd w:val="clear" w:color="auto" w:fill="E6E6E6"/>
          </w:tcPr>
          <w:p>
            <w:pPr>
              <w:jc w:val="right"/>
              <w:spacing w:after="0"/>
              <w:rPr>
                <w:sz w:val="20"/>
                <w:szCs w:val="20"/>
                <w:color w:val="auto"/>
              </w:rPr>
            </w:pPr>
            <w:r>
              <w:rPr>
                <w:rFonts w:ascii="Arial" w:cs="Arial" w:eastAsia="Arial" w:hAnsi="Arial"/>
                <w:sz w:val="13"/>
                <w:szCs w:val="13"/>
                <w:color w:val="auto"/>
              </w:rPr>
              <w:t>16.87</w:t>
            </w:r>
          </w:p>
        </w:tc>
        <w:tc>
          <w:tcPr>
            <w:tcW w:w="900" w:type="dxa"/>
            <w:vAlign w:val="bottom"/>
            <w:gridSpan w:val="2"/>
            <w:vMerge w:val="restart"/>
            <w:shd w:val="clear" w:color="auto" w:fill="E6E6E6"/>
          </w:tcPr>
          <w:p>
            <w:pPr>
              <w:jc w:val="right"/>
              <w:ind w:right="60"/>
              <w:spacing w:after="0"/>
              <w:rPr>
                <w:sz w:val="20"/>
                <w:szCs w:val="20"/>
                <w:color w:val="auto"/>
              </w:rPr>
            </w:pPr>
            <w:r>
              <w:rPr>
                <w:rFonts w:ascii="Arial" w:cs="Arial" w:eastAsia="Arial" w:hAnsi="Arial"/>
                <w:sz w:val="13"/>
                <w:szCs w:val="13"/>
                <w:color w:val="auto"/>
              </w:rPr>
              <w:t>12/01/2030</w:t>
            </w:r>
          </w:p>
        </w:tc>
        <w:tc>
          <w:tcPr>
            <w:tcW w:w="960" w:type="dxa"/>
            <w:vAlign w:val="bottom"/>
            <w:shd w:val="clear" w:color="auto" w:fill="E6E6E6"/>
          </w:tcPr>
          <w:p>
            <w:pPr>
              <w:spacing w:after="0"/>
              <w:rPr>
                <w:sz w:val="14"/>
                <w:szCs w:val="14"/>
                <w:color w:val="auto"/>
              </w:rPr>
            </w:pPr>
          </w:p>
        </w:tc>
        <w:tc>
          <w:tcPr>
            <w:tcW w:w="940" w:type="dxa"/>
            <w:vAlign w:val="bottom"/>
            <w:shd w:val="clear" w:color="auto" w:fill="E6E6E6"/>
          </w:tcPr>
          <w:p>
            <w:pPr>
              <w:spacing w:after="0"/>
              <w:rPr>
                <w:sz w:val="14"/>
                <w:szCs w:val="14"/>
                <w:color w:val="auto"/>
              </w:rPr>
            </w:pPr>
          </w:p>
        </w:tc>
        <w:tc>
          <w:tcPr>
            <w:tcW w:w="1160" w:type="dxa"/>
            <w:vAlign w:val="bottom"/>
            <w:shd w:val="clear" w:color="auto" w:fill="E6E6E6"/>
          </w:tcPr>
          <w:p>
            <w:pPr>
              <w:spacing w:after="0"/>
              <w:rPr>
                <w:sz w:val="14"/>
                <w:szCs w:val="14"/>
                <w:color w:val="auto"/>
              </w:rPr>
            </w:pPr>
          </w:p>
        </w:tc>
        <w:tc>
          <w:tcPr>
            <w:tcW w:w="1200" w:type="dxa"/>
            <w:vAlign w:val="bottom"/>
            <w:shd w:val="clear" w:color="auto" w:fill="E6E6E6"/>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 w:type="dxa"/>
            <w:vAlign w:val="bottom"/>
            <w:shd w:val="clear" w:color="auto" w:fill="E6E6E6"/>
          </w:tcPr>
          <w:p>
            <w:pPr>
              <w:spacing w:after="0"/>
              <w:rPr>
                <w:sz w:val="13"/>
                <w:szCs w:val="13"/>
                <w:color w:val="auto"/>
              </w:rPr>
            </w:pPr>
          </w:p>
        </w:tc>
        <w:tc>
          <w:tcPr>
            <w:tcW w:w="1000" w:type="dxa"/>
            <w:vAlign w:val="bottom"/>
            <w:shd w:val="clear" w:color="auto" w:fill="E6E6E6"/>
          </w:tcPr>
          <w:p>
            <w:pPr>
              <w:spacing w:after="0"/>
              <w:rPr>
                <w:sz w:val="13"/>
                <w:szCs w:val="13"/>
                <w:color w:val="auto"/>
              </w:rPr>
            </w:pPr>
          </w:p>
        </w:tc>
        <w:tc>
          <w:tcPr>
            <w:tcW w:w="920" w:type="dxa"/>
            <w:vAlign w:val="bottom"/>
            <w:vMerge w:val="continue"/>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1360" w:type="dxa"/>
            <w:vAlign w:val="bottom"/>
            <w:shd w:val="clear" w:color="auto" w:fill="E6E6E6"/>
          </w:tcPr>
          <w:p>
            <w:pPr>
              <w:spacing w:after="0"/>
              <w:rPr>
                <w:sz w:val="13"/>
                <w:szCs w:val="13"/>
                <w:color w:val="auto"/>
              </w:rPr>
            </w:pPr>
          </w:p>
        </w:tc>
        <w:tc>
          <w:tcPr>
            <w:tcW w:w="780" w:type="dxa"/>
            <w:vAlign w:val="bottom"/>
            <w:vMerge w:val="continue"/>
            <w:shd w:val="clear" w:color="auto" w:fill="E6E6E6"/>
          </w:tcPr>
          <w:p>
            <w:pPr>
              <w:spacing w:after="0"/>
              <w:rPr>
                <w:sz w:val="13"/>
                <w:szCs w:val="13"/>
                <w:color w:val="auto"/>
              </w:rPr>
            </w:pPr>
          </w:p>
        </w:tc>
        <w:tc>
          <w:tcPr>
            <w:tcW w:w="900" w:type="dxa"/>
            <w:vAlign w:val="bottom"/>
            <w:gridSpan w:val="2"/>
            <w:vMerge w:val="continue"/>
            <w:shd w:val="clear" w:color="auto" w:fill="E6E6E6"/>
          </w:tcPr>
          <w:p>
            <w:pPr>
              <w:spacing w:after="0"/>
              <w:rPr>
                <w:sz w:val="13"/>
                <w:szCs w:val="13"/>
                <w:color w:val="auto"/>
              </w:rPr>
            </w:pPr>
          </w:p>
        </w:tc>
        <w:tc>
          <w:tcPr>
            <w:tcW w:w="960" w:type="dxa"/>
            <w:vAlign w:val="bottom"/>
            <w:shd w:val="clear" w:color="auto" w:fill="E6E6E6"/>
          </w:tcPr>
          <w:p>
            <w:pPr>
              <w:spacing w:after="0"/>
              <w:rPr>
                <w:sz w:val="13"/>
                <w:szCs w:val="13"/>
                <w:color w:val="auto"/>
              </w:rPr>
            </w:pPr>
          </w:p>
        </w:tc>
        <w:tc>
          <w:tcPr>
            <w:tcW w:w="940" w:type="dxa"/>
            <w:vAlign w:val="bottom"/>
            <w:shd w:val="clear" w:color="auto" w:fill="E6E6E6"/>
          </w:tcPr>
          <w:p>
            <w:pPr>
              <w:spacing w:after="0"/>
              <w:rPr>
                <w:sz w:val="13"/>
                <w:szCs w:val="13"/>
                <w:color w:val="auto"/>
              </w:rPr>
            </w:pPr>
          </w:p>
        </w:tc>
        <w:tc>
          <w:tcPr>
            <w:tcW w:w="1160" w:type="dxa"/>
            <w:vAlign w:val="bottom"/>
            <w:shd w:val="clear" w:color="auto" w:fill="E6E6E6"/>
          </w:tcPr>
          <w:p>
            <w:pPr>
              <w:spacing w:after="0"/>
              <w:rPr>
                <w:sz w:val="13"/>
                <w:szCs w:val="13"/>
                <w:color w:val="auto"/>
              </w:rPr>
            </w:pPr>
          </w:p>
        </w:tc>
        <w:tc>
          <w:tcPr>
            <w:tcW w:w="120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2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15,130</w:t>
            </w:r>
          </w:p>
        </w:tc>
        <w:tc>
          <w:tcPr>
            <w:tcW w:w="60" w:type="dxa"/>
            <w:vAlign w:val="bottom"/>
            <w:shd w:val="clear" w:color="auto" w:fill="E6E6E6"/>
          </w:tcPr>
          <w:p>
            <w:pPr>
              <w:spacing w:after="0"/>
              <w:rPr>
                <w:sz w:val="24"/>
                <w:szCs w:val="24"/>
                <w:color w:val="auto"/>
              </w:rPr>
            </w:pPr>
          </w:p>
        </w:tc>
        <w:tc>
          <w:tcPr>
            <w:tcW w:w="1360" w:type="dxa"/>
            <w:vAlign w:val="bottom"/>
            <w:shd w:val="clear" w:color="auto" w:fill="E6E6E6"/>
          </w:tcPr>
          <w:p>
            <w:pPr>
              <w:spacing w:after="0"/>
              <w:rPr>
                <w:sz w:val="24"/>
                <w:szCs w:val="24"/>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27.62</w:t>
            </w:r>
          </w:p>
        </w:tc>
        <w:tc>
          <w:tcPr>
            <w:tcW w:w="900" w:type="dxa"/>
            <w:vAlign w:val="bottom"/>
            <w:gridSpan w:val="2"/>
            <w:shd w:val="clear" w:color="auto" w:fill="E6E6E6"/>
          </w:tcPr>
          <w:p>
            <w:pPr>
              <w:jc w:val="right"/>
              <w:ind w:right="60"/>
              <w:spacing w:after="0"/>
              <w:rPr>
                <w:sz w:val="20"/>
                <w:szCs w:val="20"/>
                <w:color w:val="auto"/>
              </w:rPr>
            </w:pPr>
            <w:r>
              <w:rPr>
                <w:rFonts w:ascii="Arial" w:cs="Arial" w:eastAsia="Arial" w:hAnsi="Arial"/>
                <w:sz w:val="13"/>
                <w:szCs w:val="13"/>
                <w:color w:val="auto"/>
              </w:rPr>
              <w:t>03/29/2031</w:t>
            </w:r>
          </w:p>
        </w:tc>
        <w:tc>
          <w:tcPr>
            <w:tcW w:w="96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116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0" w:type="dxa"/>
            <w:vAlign w:val="bottom"/>
            <w:shd w:val="clear" w:color="auto" w:fill="E6E6E6"/>
          </w:tcPr>
          <w:p>
            <w:pPr>
              <w:spacing w:after="0"/>
              <w:rPr>
                <w:sz w:val="24"/>
                <w:szCs w:val="24"/>
                <w:color w:val="auto"/>
              </w:rPr>
            </w:pPr>
          </w:p>
        </w:tc>
        <w:tc>
          <w:tcPr>
            <w:tcW w:w="1000" w:type="dxa"/>
            <w:vAlign w:val="bottom"/>
            <w:shd w:val="clear" w:color="auto" w:fill="E6E6E6"/>
          </w:tcPr>
          <w:p>
            <w:pPr>
              <w:spacing w:after="0"/>
              <w:rPr>
                <w:sz w:val="24"/>
                <w:szCs w:val="24"/>
                <w:color w:val="auto"/>
              </w:rPr>
            </w:pPr>
          </w:p>
        </w:tc>
        <w:tc>
          <w:tcPr>
            <w:tcW w:w="920" w:type="dxa"/>
            <w:vAlign w:val="bottom"/>
            <w:shd w:val="clear" w:color="auto" w:fill="E6E6E6"/>
          </w:tcPr>
          <w:p>
            <w:pPr>
              <w:jc w:val="right"/>
              <w:spacing w:after="0"/>
              <w:rPr>
                <w:sz w:val="20"/>
                <w:szCs w:val="20"/>
                <w:color w:val="auto"/>
              </w:rPr>
            </w:pPr>
            <w:r>
              <w:rPr>
                <w:rFonts w:ascii="Arial" w:cs="Arial" w:eastAsia="Arial" w:hAnsi="Arial"/>
                <w:sz w:val="13"/>
                <w:szCs w:val="13"/>
                <w:color w:val="auto"/>
              </w:rPr>
              <w:t>15,192</w:t>
            </w:r>
          </w:p>
        </w:tc>
        <w:tc>
          <w:tcPr>
            <w:tcW w:w="60" w:type="dxa"/>
            <w:vAlign w:val="bottom"/>
            <w:shd w:val="clear" w:color="auto" w:fill="E6E6E6"/>
          </w:tcPr>
          <w:p>
            <w:pPr>
              <w:spacing w:after="0"/>
              <w:rPr>
                <w:sz w:val="24"/>
                <w:szCs w:val="24"/>
                <w:color w:val="auto"/>
              </w:rPr>
            </w:pPr>
          </w:p>
        </w:tc>
        <w:tc>
          <w:tcPr>
            <w:tcW w:w="1360" w:type="dxa"/>
            <w:vAlign w:val="bottom"/>
            <w:shd w:val="clear" w:color="auto" w:fill="E6E6E6"/>
          </w:tcPr>
          <w:p>
            <w:pPr>
              <w:spacing w:after="0"/>
              <w:rPr>
                <w:sz w:val="24"/>
                <w:szCs w:val="24"/>
                <w:color w:val="auto"/>
              </w:rPr>
            </w:pPr>
          </w:p>
        </w:tc>
        <w:tc>
          <w:tcPr>
            <w:tcW w:w="7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38.04</w:t>
            </w:r>
          </w:p>
        </w:tc>
        <w:tc>
          <w:tcPr>
            <w:tcW w:w="900" w:type="dxa"/>
            <w:vAlign w:val="bottom"/>
            <w:gridSpan w:val="2"/>
            <w:shd w:val="clear" w:color="auto" w:fill="E6E6E6"/>
          </w:tcPr>
          <w:p>
            <w:pPr>
              <w:jc w:val="right"/>
              <w:ind w:right="60"/>
              <w:spacing w:after="0"/>
              <w:rPr>
                <w:sz w:val="20"/>
                <w:szCs w:val="20"/>
                <w:color w:val="auto"/>
              </w:rPr>
            </w:pPr>
            <w:r>
              <w:rPr>
                <w:rFonts w:ascii="Arial" w:cs="Arial" w:eastAsia="Arial" w:hAnsi="Arial"/>
                <w:sz w:val="13"/>
                <w:szCs w:val="13"/>
                <w:color w:val="auto"/>
              </w:rPr>
              <w:t>03/28/2032</w:t>
            </w:r>
          </w:p>
        </w:tc>
        <w:tc>
          <w:tcPr>
            <w:tcW w:w="960" w:type="dxa"/>
            <w:vAlign w:val="bottom"/>
            <w:shd w:val="clear" w:color="auto" w:fill="E6E6E6"/>
          </w:tcPr>
          <w:p>
            <w:pPr>
              <w:spacing w:after="0"/>
              <w:rPr>
                <w:sz w:val="24"/>
                <w:szCs w:val="24"/>
                <w:color w:val="auto"/>
              </w:rPr>
            </w:pPr>
          </w:p>
        </w:tc>
        <w:tc>
          <w:tcPr>
            <w:tcW w:w="940" w:type="dxa"/>
            <w:vAlign w:val="bottom"/>
            <w:shd w:val="clear" w:color="auto" w:fill="E6E6E6"/>
          </w:tcPr>
          <w:p>
            <w:pPr>
              <w:spacing w:after="0"/>
              <w:rPr>
                <w:sz w:val="24"/>
                <w:szCs w:val="24"/>
                <w:color w:val="auto"/>
              </w:rPr>
            </w:pPr>
          </w:p>
        </w:tc>
        <w:tc>
          <w:tcPr>
            <w:tcW w:w="1160" w:type="dxa"/>
            <w:vAlign w:val="bottom"/>
            <w:shd w:val="clear" w:color="auto" w:fill="E6E6E6"/>
          </w:tcPr>
          <w:p>
            <w:pPr>
              <w:spacing w:after="0"/>
              <w:rPr>
                <w:sz w:val="24"/>
                <w:szCs w:val="24"/>
                <w:color w:val="auto"/>
              </w:rPr>
            </w:pPr>
          </w:p>
        </w:tc>
        <w:tc>
          <w:tcPr>
            <w:tcW w:w="1200" w:type="dxa"/>
            <w:vAlign w:val="bottom"/>
            <w:shd w:val="clear" w:color="auto" w:fill="E6E6E6"/>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20" w:type="dxa"/>
            <w:vAlign w:val="bottom"/>
            <w:shd w:val="clear" w:color="auto" w:fill="E6E6E6"/>
          </w:tcPr>
          <w:p>
            <w:pPr>
              <w:spacing w:after="0"/>
              <w:rPr>
                <w:sz w:val="5"/>
                <w:szCs w:val="5"/>
                <w:color w:val="auto"/>
              </w:rPr>
            </w:pPr>
          </w:p>
        </w:tc>
        <w:tc>
          <w:tcPr>
            <w:tcW w:w="1000" w:type="dxa"/>
            <w:vAlign w:val="bottom"/>
            <w:shd w:val="clear" w:color="auto" w:fill="E6E6E6"/>
          </w:tcPr>
          <w:p>
            <w:pPr>
              <w:spacing w:after="0"/>
              <w:rPr>
                <w:sz w:val="5"/>
                <w:szCs w:val="5"/>
                <w:color w:val="auto"/>
              </w:rPr>
            </w:pPr>
          </w:p>
        </w:tc>
        <w:tc>
          <w:tcPr>
            <w:tcW w:w="920" w:type="dxa"/>
            <w:vAlign w:val="bottom"/>
            <w:shd w:val="clear" w:color="auto" w:fill="E6E6E6"/>
          </w:tcPr>
          <w:p>
            <w:pPr>
              <w:spacing w:after="0"/>
              <w:rPr>
                <w:sz w:val="5"/>
                <w:szCs w:val="5"/>
                <w:color w:val="auto"/>
              </w:rPr>
            </w:pPr>
          </w:p>
        </w:tc>
        <w:tc>
          <w:tcPr>
            <w:tcW w:w="60" w:type="dxa"/>
            <w:vAlign w:val="bottom"/>
            <w:shd w:val="clear" w:color="auto" w:fill="E6E6E6"/>
          </w:tcPr>
          <w:p>
            <w:pPr>
              <w:spacing w:after="0"/>
              <w:rPr>
                <w:sz w:val="5"/>
                <w:szCs w:val="5"/>
                <w:color w:val="auto"/>
              </w:rPr>
            </w:pPr>
          </w:p>
        </w:tc>
        <w:tc>
          <w:tcPr>
            <w:tcW w:w="1360" w:type="dxa"/>
            <w:vAlign w:val="bottom"/>
            <w:shd w:val="clear" w:color="auto" w:fill="E6E6E6"/>
          </w:tcPr>
          <w:p>
            <w:pPr>
              <w:spacing w:after="0"/>
              <w:rPr>
                <w:sz w:val="5"/>
                <w:szCs w:val="5"/>
                <w:color w:val="auto"/>
              </w:rPr>
            </w:pPr>
          </w:p>
        </w:tc>
        <w:tc>
          <w:tcPr>
            <w:tcW w:w="780" w:type="dxa"/>
            <w:vAlign w:val="bottom"/>
            <w:shd w:val="clear" w:color="auto" w:fill="E6E6E6"/>
          </w:tcPr>
          <w:p>
            <w:pPr>
              <w:spacing w:after="0"/>
              <w:rPr>
                <w:sz w:val="5"/>
                <w:szCs w:val="5"/>
                <w:color w:val="auto"/>
              </w:rPr>
            </w:pPr>
          </w:p>
        </w:tc>
        <w:tc>
          <w:tcPr>
            <w:tcW w:w="900" w:type="dxa"/>
            <w:vAlign w:val="bottom"/>
            <w:gridSpan w:val="2"/>
            <w:shd w:val="clear" w:color="auto" w:fill="E6E6E6"/>
          </w:tcPr>
          <w:p>
            <w:pPr>
              <w:spacing w:after="0"/>
              <w:rPr>
                <w:sz w:val="5"/>
                <w:szCs w:val="5"/>
                <w:color w:val="auto"/>
              </w:rPr>
            </w:pPr>
          </w:p>
        </w:tc>
        <w:tc>
          <w:tcPr>
            <w:tcW w:w="960" w:type="dxa"/>
            <w:vAlign w:val="bottom"/>
            <w:shd w:val="clear" w:color="auto" w:fill="E6E6E6"/>
          </w:tcPr>
          <w:p>
            <w:pPr>
              <w:spacing w:after="0"/>
              <w:rPr>
                <w:sz w:val="5"/>
                <w:szCs w:val="5"/>
                <w:color w:val="auto"/>
              </w:rPr>
            </w:pPr>
          </w:p>
        </w:tc>
        <w:tc>
          <w:tcPr>
            <w:tcW w:w="940" w:type="dxa"/>
            <w:vAlign w:val="bottom"/>
            <w:shd w:val="clear" w:color="auto" w:fill="E6E6E6"/>
          </w:tcPr>
          <w:p>
            <w:pPr>
              <w:spacing w:after="0"/>
              <w:rPr>
                <w:sz w:val="5"/>
                <w:szCs w:val="5"/>
                <w:color w:val="auto"/>
              </w:rPr>
            </w:pPr>
          </w:p>
        </w:tc>
        <w:tc>
          <w:tcPr>
            <w:tcW w:w="1160" w:type="dxa"/>
            <w:vAlign w:val="bottom"/>
            <w:shd w:val="clear" w:color="auto" w:fill="E6E6E6"/>
          </w:tcPr>
          <w:p>
            <w:pPr>
              <w:spacing w:after="0"/>
              <w:rPr>
                <w:sz w:val="5"/>
                <w:szCs w:val="5"/>
                <w:color w:val="auto"/>
              </w:rPr>
            </w:pPr>
          </w:p>
        </w:tc>
        <w:tc>
          <w:tcPr>
            <w:tcW w:w="120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1000" w:type="dxa"/>
            <w:vAlign w:val="bottom"/>
          </w:tcPr>
          <w:p>
            <w:pPr>
              <w:ind w:left="40"/>
              <w:spacing w:after="0"/>
              <w:rPr>
                <w:sz w:val="20"/>
                <w:szCs w:val="20"/>
                <w:color w:val="auto"/>
              </w:rPr>
            </w:pPr>
            <w:r>
              <w:rPr>
                <w:rFonts w:ascii="Arial" w:cs="Arial" w:eastAsia="Arial" w:hAnsi="Arial"/>
                <w:sz w:val="13"/>
                <w:szCs w:val="13"/>
                <w:b w:val="1"/>
                <w:bCs w:val="1"/>
                <w:color w:val="auto"/>
              </w:rPr>
              <w:t>Mitchell</w:t>
            </w: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3,171</w:t>
            </w:r>
          </w:p>
        </w:tc>
        <w:tc>
          <w:tcPr>
            <w:tcW w:w="13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27.74</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04/15/2026</w:t>
            </w:r>
          </w:p>
        </w:tc>
        <w:tc>
          <w:tcPr>
            <w:tcW w:w="960" w:type="dxa"/>
            <w:vAlign w:val="bottom"/>
          </w:tcPr>
          <w:p>
            <w:pPr>
              <w:jc w:val="right"/>
              <w:ind w:right="17"/>
              <w:spacing w:after="0"/>
              <w:rPr>
                <w:sz w:val="20"/>
                <w:szCs w:val="20"/>
                <w:color w:val="auto"/>
              </w:rPr>
            </w:pPr>
            <w:r>
              <w:rPr>
                <w:rFonts w:ascii="Arial" w:cs="Arial" w:eastAsia="Arial" w:hAnsi="Arial"/>
                <w:sz w:val="13"/>
                <w:szCs w:val="13"/>
                <w:color w:val="auto"/>
              </w:rPr>
              <w:t>25,758</w:t>
            </w:r>
          </w:p>
        </w:tc>
        <w:tc>
          <w:tcPr>
            <w:tcW w:w="940" w:type="dxa"/>
            <w:vAlign w:val="bottom"/>
          </w:tcPr>
          <w:p>
            <w:pPr>
              <w:jc w:val="right"/>
              <w:spacing w:after="0"/>
              <w:rPr>
                <w:sz w:val="20"/>
                <w:szCs w:val="20"/>
                <w:color w:val="auto"/>
              </w:rPr>
            </w:pPr>
            <w:r>
              <w:rPr>
                <w:rFonts w:ascii="Arial" w:cs="Arial" w:eastAsia="Arial" w:hAnsi="Arial"/>
                <w:sz w:val="13"/>
                <w:szCs w:val="13"/>
                <w:color w:val="auto"/>
              </w:rPr>
              <w:t>587,282</w:t>
            </w:r>
          </w:p>
        </w:tc>
        <w:tc>
          <w:tcPr>
            <w:tcW w:w="11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0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Arial" w:cs="Arial" w:eastAsia="Arial" w:hAnsi="Arial"/>
                <w:sz w:val="13"/>
                <w:szCs w:val="13"/>
                <w:b w:val="1"/>
                <w:bCs w:val="1"/>
                <w:color w:val="auto"/>
              </w:rPr>
              <w:t>Sussis</w:t>
            </w:r>
          </w:p>
        </w:tc>
        <w:tc>
          <w:tcPr>
            <w:tcW w:w="9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7,980</w:t>
            </w:r>
          </w:p>
        </w:tc>
        <w:tc>
          <w:tcPr>
            <w:tcW w:w="13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3"/>
                <w:szCs w:val="13"/>
                <w:color w:val="auto"/>
              </w:rPr>
              <w:t>23.35</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04/17/2027</w:t>
            </w:r>
          </w:p>
        </w:tc>
        <w:tc>
          <w:tcPr>
            <w:tcW w:w="9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3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9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10,000</w:t>
            </w:r>
          </w:p>
        </w:tc>
        <w:tc>
          <w:tcPr>
            <w:tcW w:w="1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16.87</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12/01/2030</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7,875</w:t>
            </w:r>
          </w:p>
        </w:tc>
        <w:tc>
          <w:tcPr>
            <w:tcW w:w="1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27.62</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03/29/2031</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3"/>
                <w:szCs w:val="13"/>
                <w:color w:val="auto"/>
              </w:rPr>
              <w:t>5,672</w:t>
            </w:r>
          </w:p>
        </w:tc>
        <w:tc>
          <w:tcPr>
            <w:tcW w:w="1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38.04</w:t>
            </w:r>
          </w:p>
        </w:tc>
        <w:tc>
          <w:tcPr>
            <w:tcW w:w="900" w:type="dxa"/>
            <w:vAlign w:val="bottom"/>
            <w:gridSpan w:val="2"/>
          </w:tcPr>
          <w:p>
            <w:pPr>
              <w:jc w:val="right"/>
              <w:ind w:right="60"/>
              <w:spacing w:after="0"/>
              <w:rPr>
                <w:sz w:val="20"/>
                <w:szCs w:val="20"/>
                <w:color w:val="auto"/>
              </w:rPr>
            </w:pPr>
            <w:r>
              <w:rPr>
                <w:rFonts w:ascii="Arial" w:cs="Arial" w:eastAsia="Arial" w:hAnsi="Arial"/>
                <w:sz w:val="13"/>
                <w:szCs w:val="13"/>
                <w:color w:val="auto"/>
              </w:rPr>
              <w:t>03/28/2032</w:t>
            </w: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80" w:type="dxa"/>
            <w:vAlign w:val="bottom"/>
            <w:gridSpan w:val="2"/>
          </w:tcPr>
          <w:p>
            <w:pPr>
              <w:spacing w:after="0"/>
              <w:rPr>
                <w:sz w:val="5"/>
                <w:szCs w:val="5"/>
                <w:color w:val="auto"/>
              </w:rPr>
            </w:pPr>
          </w:p>
        </w:tc>
        <w:tc>
          <w:tcPr>
            <w:tcW w:w="1360" w:type="dxa"/>
            <w:vAlign w:val="bottom"/>
          </w:tcPr>
          <w:p>
            <w:pPr>
              <w:spacing w:after="0"/>
              <w:rPr>
                <w:sz w:val="5"/>
                <w:szCs w:val="5"/>
                <w:color w:val="auto"/>
              </w:rPr>
            </w:pPr>
          </w:p>
        </w:tc>
        <w:tc>
          <w:tcPr>
            <w:tcW w:w="780" w:type="dxa"/>
            <w:vAlign w:val="bottom"/>
          </w:tcPr>
          <w:p>
            <w:pPr>
              <w:spacing w:after="0"/>
              <w:rPr>
                <w:sz w:val="5"/>
                <w:szCs w:val="5"/>
                <w:color w:val="auto"/>
              </w:rPr>
            </w:pPr>
          </w:p>
        </w:tc>
        <w:tc>
          <w:tcPr>
            <w:tcW w:w="900" w:type="dxa"/>
            <w:vAlign w:val="bottom"/>
            <w:gridSpan w:val="2"/>
          </w:tcPr>
          <w:p>
            <w:pPr>
              <w:spacing w:after="0"/>
              <w:rPr>
                <w:sz w:val="5"/>
                <w:szCs w:val="5"/>
                <w:color w:val="auto"/>
              </w:rPr>
            </w:pPr>
          </w:p>
        </w:tc>
        <w:tc>
          <w:tcPr>
            <w:tcW w:w="9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120" w:type="dxa"/>
            <w:vAlign w:val="bottom"/>
            <w:shd w:val="clear" w:color="auto" w:fill="E6E6E6"/>
          </w:tcPr>
          <w:p>
            <w:pPr>
              <w:spacing w:after="0"/>
              <w:rPr>
                <w:sz w:val="17"/>
                <w:szCs w:val="17"/>
                <w:color w:val="auto"/>
              </w:rPr>
            </w:pPr>
          </w:p>
        </w:tc>
        <w:tc>
          <w:tcPr>
            <w:tcW w:w="1000" w:type="dxa"/>
            <w:vAlign w:val="bottom"/>
            <w:shd w:val="clear" w:color="auto" w:fill="E6E6E6"/>
          </w:tcPr>
          <w:p>
            <w:pPr>
              <w:ind w:left="40"/>
              <w:spacing w:after="0"/>
              <w:rPr>
                <w:sz w:val="20"/>
                <w:szCs w:val="20"/>
                <w:color w:val="auto"/>
              </w:rPr>
            </w:pPr>
            <w:r>
              <w:rPr>
                <w:rFonts w:ascii="Arial" w:cs="Arial" w:eastAsia="Arial" w:hAnsi="Arial"/>
                <w:sz w:val="13"/>
                <w:szCs w:val="13"/>
                <w:b w:val="1"/>
                <w:bCs w:val="1"/>
                <w:color w:val="auto"/>
              </w:rPr>
              <w:t>Michelle</w:t>
            </w:r>
          </w:p>
        </w:tc>
        <w:tc>
          <w:tcPr>
            <w:tcW w:w="980" w:type="dxa"/>
            <w:vAlign w:val="bottom"/>
            <w:gridSpan w:val="2"/>
            <w:shd w:val="clear" w:color="auto" w:fill="E6E6E6"/>
          </w:tcPr>
          <w:p>
            <w:pPr>
              <w:jc w:val="right"/>
              <w:ind w:right="60"/>
              <w:spacing w:after="0"/>
              <w:rPr>
                <w:sz w:val="20"/>
                <w:szCs w:val="20"/>
                <w:color w:val="auto"/>
              </w:rPr>
            </w:pPr>
            <w:r>
              <w:rPr>
                <w:rFonts w:ascii="Arial" w:cs="Arial" w:eastAsia="Arial" w:hAnsi="Arial"/>
                <w:sz w:val="13"/>
                <w:szCs w:val="13"/>
                <w:color w:val="auto"/>
              </w:rPr>
              <w:t>—</w:t>
            </w:r>
          </w:p>
        </w:tc>
        <w:tc>
          <w:tcPr>
            <w:tcW w:w="13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7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2"/>
            <w:shd w:val="clear" w:color="auto" w:fill="E6E6E6"/>
          </w:tcPr>
          <w:p>
            <w:pPr>
              <w:jc w:val="right"/>
              <w:ind w:right="60"/>
              <w:spacing w:after="0"/>
              <w:rPr>
                <w:sz w:val="20"/>
                <w:szCs w:val="20"/>
                <w:color w:val="auto"/>
              </w:rPr>
            </w:pPr>
            <w:r>
              <w:rPr>
                <w:rFonts w:ascii="Arial" w:cs="Arial" w:eastAsia="Arial" w:hAnsi="Arial"/>
                <w:sz w:val="13"/>
                <w:szCs w:val="13"/>
                <w:color w:val="auto"/>
              </w:rPr>
              <w:t>—</w:t>
            </w:r>
          </w:p>
        </w:tc>
        <w:tc>
          <w:tcPr>
            <w:tcW w:w="960" w:type="dxa"/>
            <w:vAlign w:val="bottom"/>
            <w:shd w:val="clear" w:color="auto" w:fill="E6E6E6"/>
          </w:tcPr>
          <w:p>
            <w:pPr>
              <w:jc w:val="right"/>
              <w:ind w:right="17"/>
              <w:spacing w:after="0"/>
              <w:rPr>
                <w:sz w:val="20"/>
                <w:szCs w:val="20"/>
                <w:color w:val="auto"/>
              </w:rPr>
            </w:pPr>
            <w:r>
              <w:rPr>
                <w:rFonts w:ascii="Arial" w:cs="Arial" w:eastAsia="Arial" w:hAnsi="Arial"/>
                <w:sz w:val="13"/>
                <w:szCs w:val="13"/>
                <w:color w:val="auto"/>
              </w:rPr>
              <w:t>27,797</w:t>
            </w:r>
          </w:p>
        </w:tc>
        <w:tc>
          <w:tcPr>
            <w:tcW w:w="9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633,772</w:t>
            </w:r>
          </w:p>
        </w:tc>
        <w:tc>
          <w:tcPr>
            <w:tcW w:w="1160" w:type="dxa"/>
            <w:vAlign w:val="bottom"/>
            <w:shd w:val="clear" w:color="auto" w:fill="E6E6E6"/>
          </w:tcPr>
          <w:p>
            <w:pPr>
              <w:jc w:val="right"/>
              <w:ind w:right="17"/>
              <w:spacing w:after="0"/>
              <w:rPr>
                <w:sz w:val="20"/>
                <w:szCs w:val="20"/>
                <w:color w:val="auto"/>
              </w:rPr>
            </w:pPr>
            <w:r>
              <w:rPr>
                <w:rFonts w:ascii="Arial" w:cs="Arial" w:eastAsia="Arial" w:hAnsi="Arial"/>
                <w:sz w:val="13"/>
                <w:szCs w:val="13"/>
                <w:color w:val="auto"/>
              </w:rPr>
              <w:t>—</w:t>
            </w:r>
          </w:p>
        </w:tc>
        <w:tc>
          <w:tcPr>
            <w:tcW w:w="120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120" w:type="dxa"/>
            <w:vAlign w:val="bottom"/>
            <w:shd w:val="clear" w:color="auto" w:fill="E6E6E6"/>
          </w:tcPr>
          <w:p>
            <w:pPr>
              <w:spacing w:after="0"/>
              <w:rPr>
                <w:sz w:val="13"/>
                <w:szCs w:val="13"/>
                <w:color w:val="auto"/>
              </w:rPr>
            </w:pPr>
          </w:p>
        </w:tc>
        <w:tc>
          <w:tcPr>
            <w:tcW w:w="1000" w:type="dxa"/>
            <w:vAlign w:val="bottom"/>
            <w:shd w:val="clear" w:color="auto" w:fill="E6E6E6"/>
          </w:tcPr>
          <w:p>
            <w:pPr>
              <w:ind w:left="40"/>
              <w:spacing w:after="0"/>
              <w:rPr>
                <w:sz w:val="20"/>
                <w:szCs w:val="20"/>
                <w:color w:val="auto"/>
              </w:rPr>
            </w:pPr>
            <w:r>
              <w:rPr>
                <w:rFonts w:ascii="Arial" w:cs="Arial" w:eastAsia="Arial" w:hAnsi="Arial"/>
                <w:sz w:val="13"/>
                <w:szCs w:val="13"/>
                <w:b w:val="1"/>
                <w:bCs w:val="1"/>
                <w:color w:val="auto"/>
              </w:rPr>
              <w:t>Kennedy</w:t>
            </w:r>
          </w:p>
        </w:tc>
        <w:tc>
          <w:tcPr>
            <w:tcW w:w="92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1360" w:type="dxa"/>
            <w:vAlign w:val="bottom"/>
            <w:shd w:val="clear" w:color="auto" w:fill="E6E6E6"/>
          </w:tcPr>
          <w:p>
            <w:pPr>
              <w:spacing w:after="0"/>
              <w:rPr>
                <w:sz w:val="13"/>
                <w:szCs w:val="13"/>
                <w:color w:val="auto"/>
              </w:rPr>
            </w:pPr>
          </w:p>
        </w:tc>
        <w:tc>
          <w:tcPr>
            <w:tcW w:w="780" w:type="dxa"/>
            <w:vAlign w:val="bottom"/>
            <w:shd w:val="clear" w:color="auto" w:fill="E6E6E6"/>
          </w:tcPr>
          <w:p>
            <w:pPr>
              <w:spacing w:after="0"/>
              <w:rPr>
                <w:sz w:val="13"/>
                <w:szCs w:val="13"/>
                <w:color w:val="auto"/>
              </w:rPr>
            </w:pPr>
          </w:p>
        </w:tc>
        <w:tc>
          <w:tcPr>
            <w:tcW w:w="840" w:type="dxa"/>
            <w:vAlign w:val="bottom"/>
            <w:shd w:val="clear" w:color="auto" w:fill="E6E6E6"/>
          </w:tcPr>
          <w:p>
            <w:pPr>
              <w:spacing w:after="0"/>
              <w:rPr>
                <w:sz w:val="13"/>
                <w:szCs w:val="13"/>
                <w:color w:val="auto"/>
              </w:rPr>
            </w:pPr>
          </w:p>
        </w:tc>
        <w:tc>
          <w:tcPr>
            <w:tcW w:w="60" w:type="dxa"/>
            <w:vAlign w:val="bottom"/>
            <w:shd w:val="clear" w:color="auto" w:fill="E6E6E6"/>
          </w:tcPr>
          <w:p>
            <w:pPr>
              <w:spacing w:after="0"/>
              <w:rPr>
                <w:sz w:val="13"/>
                <w:szCs w:val="13"/>
                <w:color w:val="auto"/>
              </w:rPr>
            </w:pPr>
          </w:p>
        </w:tc>
        <w:tc>
          <w:tcPr>
            <w:tcW w:w="960" w:type="dxa"/>
            <w:vAlign w:val="bottom"/>
            <w:shd w:val="clear" w:color="auto" w:fill="E6E6E6"/>
          </w:tcPr>
          <w:p>
            <w:pPr>
              <w:spacing w:after="0"/>
              <w:rPr>
                <w:sz w:val="13"/>
                <w:szCs w:val="13"/>
                <w:color w:val="auto"/>
              </w:rPr>
            </w:pPr>
          </w:p>
        </w:tc>
        <w:tc>
          <w:tcPr>
            <w:tcW w:w="940" w:type="dxa"/>
            <w:vAlign w:val="bottom"/>
            <w:shd w:val="clear" w:color="auto" w:fill="E6E6E6"/>
          </w:tcPr>
          <w:p>
            <w:pPr>
              <w:spacing w:after="0"/>
              <w:rPr>
                <w:sz w:val="13"/>
                <w:szCs w:val="13"/>
                <w:color w:val="auto"/>
              </w:rPr>
            </w:pPr>
          </w:p>
        </w:tc>
        <w:tc>
          <w:tcPr>
            <w:tcW w:w="1160" w:type="dxa"/>
            <w:vAlign w:val="bottom"/>
            <w:shd w:val="clear" w:color="auto" w:fill="E6E6E6"/>
          </w:tcPr>
          <w:p>
            <w:pPr>
              <w:spacing w:after="0"/>
              <w:rPr>
                <w:sz w:val="13"/>
                <w:szCs w:val="13"/>
                <w:color w:val="auto"/>
              </w:rPr>
            </w:pPr>
          </w:p>
        </w:tc>
        <w:tc>
          <w:tcPr>
            <w:tcW w:w="1200" w:type="dxa"/>
            <w:vAlign w:val="bottom"/>
            <w:shd w:val="clear" w:color="auto" w:fill="E6E6E6"/>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20" w:type="dxa"/>
            <w:vAlign w:val="bottom"/>
            <w:tcBorders>
              <w:bottom w:val="single" w:sz="8" w:color="D9BA05"/>
            </w:tcBorders>
            <w:shd w:val="clear" w:color="auto" w:fill="E6E6E6"/>
          </w:tcPr>
          <w:p>
            <w:pPr>
              <w:spacing w:after="0"/>
              <w:rPr>
                <w:sz w:val="5"/>
                <w:szCs w:val="5"/>
                <w:color w:val="auto"/>
              </w:rPr>
            </w:pPr>
          </w:p>
        </w:tc>
        <w:tc>
          <w:tcPr>
            <w:tcW w:w="1000" w:type="dxa"/>
            <w:vAlign w:val="bottom"/>
            <w:tcBorders>
              <w:bottom w:val="single" w:sz="8" w:color="D9BA05"/>
            </w:tcBorders>
            <w:shd w:val="clear" w:color="auto" w:fill="E6E6E6"/>
          </w:tcPr>
          <w:p>
            <w:pPr>
              <w:spacing w:after="0"/>
              <w:rPr>
                <w:sz w:val="5"/>
                <w:szCs w:val="5"/>
                <w:color w:val="auto"/>
              </w:rPr>
            </w:pPr>
          </w:p>
        </w:tc>
        <w:tc>
          <w:tcPr>
            <w:tcW w:w="920" w:type="dxa"/>
            <w:vAlign w:val="bottom"/>
            <w:tcBorders>
              <w:bottom w:val="single" w:sz="8" w:color="D9BA05"/>
            </w:tcBorders>
            <w:shd w:val="clear" w:color="auto" w:fill="E6E6E6"/>
          </w:tcPr>
          <w:p>
            <w:pPr>
              <w:spacing w:after="0"/>
              <w:rPr>
                <w:sz w:val="5"/>
                <w:szCs w:val="5"/>
                <w:color w:val="auto"/>
              </w:rPr>
            </w:pPr>
          </w:p>
        </w:tc>
        <w:tc>
          <w:tcPr>
            <w:tcW w:w="60" w:type="dxa"/>
            <w:vAlign w:val="bottom"/>
            <w:tcBorders>
              <w:bottom w:val="single" w:sz="8" w:color="D9BA05"/>
            </w:tcBorders>
            <w:shd w:val="clear" w:color="auto" w:fill="E6E6E6"/>
          </w:tcPr>
          <w:p>
            <w:pPr>
              <w:spacing w:after="0"/>
              <w:rPr>
                <w:sz w:val="5"/>
                <w:szCs w:val="5"/>
                <w:color w:val="auto"/>
              </w:rPr>
            </w:pPr>
          </w:p>
        </w:tc>
        <w:tc>
          <w:tcPr>
            <w:tcW w:w="1360" w:type="dxa"/>
            <w:vAlign w:val="bottom"/>
            <w:tcBorders>
              <w:bottom w:val="single" w:sz="8" w:color="D9BA05"/>
            </w:tcBorders>
            <w:shd w:val="clear" w:color="auto" w:fill="E6E6E6"/>
          </w:tcPr>
          <w:p>
            <w:pPr>
              <w:spacing w:after="0"/>
              <w:rPr>
                <w:sz w:val="5"/>
                <w:szCs w:val="5"/>
                <w:color w:val="auto"/>
              </w:rPr>
            </w:pPr>
          </w:p>
        </w:tc>
        <w:tc>
          <w:tcPr>
            <w:tcW w:w="780" w:type="dxa"/>
            <w:vAlign w:val="bottom"/>
            <w:tcBorders>
              <w:bottom w:val="single" w:sz="8" w:color="D9BA05"/>
            </w:tcBorders>
            <w:shd w:val="clear" w:color="auto" w:fill="E6E6E6"/>
          </w:tcPr>
          <w:p>
            <w:pPr>
              <w:spacing w:after="0"/>
              <w:rPr>
                <w:sz w:val="5"/>
                <w:szCs w:val="5"/>
                <w:color w:val="auto"/>
              </w:rPr>
            </w:pPr>
          </w:p>
        </w:tc>
        <w:tc>
          <w:tcPr>
            <w:tcW w:w="840" w:type="dxa"/>
            <w:vAlign w:val="bottom"/>
            <w:tcBorders>
              <w:bottom w:val="single" w:sz="8" w:color="D9BA05"/>
            </w:tcBorders>
            <w:shd w:val="clear" w:color="auto" w:fill="E6E6E6"/>
          </w:tcPr>
          <w:p>
            <w:pPr>
              <w:spacing w:after="0"/>
              <w:rPr>
                <w:sz w:val="5"/>
                <w:szCs w:val="5"/>
                <w:color w:val="auto"/>
              </w:rPr>
            </w:pPr>
          </w:p>
        </w:tc>
        <w:tc>
          <w:tcPr>
            <w:tcW w:w="60" w:type="dxa"/>
            <w:vAlign w:val="bottom"/>
            <w:tcBorders>
              <w:bottom w:val="single" w:sz="8" w:color="D9BA05"/>
            </w:tcBorders>
            <w:shd w:val="clear" w:color="auto" w:fill="E6E6E6"/>
          </w:tcPr>
          <w:p>
            <w:pPr>
              <w:spacing w:after="0"/>
              <w:rPr>
                <w:sz w:val="5"/>
                <w:szCs w:val="5"/>
                <w:color w:val="auto"/>
              </w:rPr>
            </w:pPr>
          </w:p>
        </w:tc>
        <w:tc>
          <w:tcPr>
            <w:tcW w:w="960" w:type="dxa"/>
            <w:vAlign w:val="bottom"/>
            <w:tcBorders>
              <w:bottom w:val="single" w:sz="8" w:color="D9BA05"/>
            </w:tcBorders>
            <w:shd w:val="clear" w:color="auto" w:fill="E6E6E6"/>
          </w:tcPr>
          <w:p>
            <w:pPr>
              <w:spacing w:after="0"/>
              <w:rPr>
                <w:sz w:val="5"/>
                <w:szCs w:val="5"/>
                <w:color w:val="auto"/>
              </w:rPr>
            </w:pPr>
          </w:p>
        </w:tc>
        <w:tc>
          <w:tcPr>
            <w:tcW w:w="940" w:type="dxa"/>
            <w:vAlign w:val="bottom"/>
            <w:tcBorders>
              <w:bottom w:val="single" w:sz="8" w:color="D9BA05"/>
            </w:tcBorders>
            <w:shd w:val="clear" w:color="auto" w:fill="E6E6E6"/>
          </w:tcPr>
          <w:p>
            <w:pPr>
              <w:spacing w:after="0"/>
              <w:rPr>
                <w:sz w:val="5"/>
                <w:szCs w:val="5"/>
                <w:color w:val="auto"/>
              </w:rPr>
            </w:pPr>
          </w:p>
        </w:tc>
        <w:tc>
          <w:tcPr>
            <w:tcW w:w="1160" w:type="dxa"/>
            <w:vAlign w:val="bottom"/>
            <w:tcBorders>
              <w:bottom w:val="single" w:sz="8" w:color="D9BA05"/>
            </w:tcBorders>
            <w:shd w:val="clear" w:color="auto" w:fill="E6E6E6"/>
          </w:tcPr>
          <w:p>
            <w:pPr>
              <w:spacing w:after="0"/>
              <w:rPr>
                <w:sz w:val="5"/>
                <w:szCs w:val="5"/>
                <w:color w:val="auto"/>
              </w:rPr>
            </w:pPr>
          </w:p>
        </w:tc>
        <w:tc>
          <w:tcPr>
            <w:tcW w:w="1200" w:type="dxa"/>
            <w:vAlign w:val="bottom"/>
            <w:tcBorders>
              <w:bottom w:val="single" w:sz="8" w:color="D9BA05"/>
            </w:tcBorders>
            <w:shd w:val="clear" w:color="auto" w:fill="E6E6E6"/>
          </w:tcPr>
          <w:p>
            <w:pPr>
              <w:spacing w:after="0"/>
              <w:rPr>
                <w:sz w:val="5"/>
                <w:szCs w:val="5"/>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340" w:hanging="334"/>
        <w:spacing w:after="0"/>
        <w:tabs>
          <w:tab w:leader="none" w:pos="340" w:val="left"/>
        </w:tabs>
        <w:numPr>
          <w:ilvl w:val="0"/>
          <w:numId w:val="23"/>
        </w:numPr>
        <w:rPr>
          <w:rFonts w:ascii="Arial" w:cs="Arial" w:eastAsia="Arial" w:hAnsi="Arial"/>
          <w:sz w:val="13"/>
          <w:szCs w:val="13"/>
          <w:color w:val="333333"/>
        </w:rPr>
      </w:pPr>
      <w:r>
        <w:rPr>
          <w:rFonts w:ascii="Arial" w:cs="Arial" w:eastAsia="Arial" w:hAnsi="Arial"/>
          <w:sz w:val="13"/>
          <w:szCs w:val="13"/>
          <w:color w:val="333333"/>
        </w:rPr>
        <w:t>All option vesting dates are contingent on continued employment through such dates.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Movado Group, Inc.        31</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40" w:right="40" w:hanging="334"/>
        <w:spacing w:after="0" w:line="229" w:lineRule="auto"/>
        <w:tabs>
          <w:tab w:leader="none" w:pos="340" w:val="left"/>
        </w:tabs>
        <w:numPr>
          <w:ilvl w:val="0"/>
          <w:numId w:val="24"/>
        </w:numPr>
        <w:rPr>
          <w:rFonts w:ascii="Arial" w:cs="Arial" w:eastAsia="Arial" w:hAnsi="Arial"/>
          <w:sz w:val="13"/>
          <w:szCs w:val="13"/>
          <w:color w:val="333333"/>
        </w:rPr>
      </w:pPr>
      <w:r>
        <w:rPr>
          <w:rFonts w:ascii="Arial" w:cs="Arial" w:eastAsia="Arial" w:hAnsi="Arial"/>
          <w:sz w:val="13"/>
          <w:szCs w:val="13"/>
          <w:color w:val="333333"/>
        </w:rPr>
        <w:t xml:space="preserve">Represents unvested stock awards granted under the Company’s Stock Plan which is discussed above under “Fiscal 2026 Executive Compensation Components — </w:t>
      </w:r>
      <w:r>
        <w:rPr>
          <w:rFonts w:ascii="Arial" w:cs="Arial" w:eastAsia="Arial" w:hAnsi="Arial"/>
          <w:sz w:val="13"/>
          <w:szCs w:val="13"/>
          <w:i w:val="1"/>
          <w:iCs w:val="1"/>
          <w:color w:val="333333"/>
        </w:rPr>
        <w:t>Equity Incentive Compensation.</w:t>
      </w:r>
      <w:r>
        <w:rPr>
          <w:rFonts w:ascii="Arial" w:cs="Arial" w:eastAsia="Arial" w:hAnsi="Arial"/>
          <w:sz w:val="13"/>
          <w:szCs w:val="13"/>
          <w:color w:val="333333"/>
        </w:rPr>
        <w:t>” The following table lists the vesting dates (assuming continued employment on such dates) and the number of shares of Common Stock vesting on such dates, assuming target performance in the case of PSUs. However, the PSUs granted in fiscal years 2024 and 2025 are not reflected in this table since they were cancelled due to the failure to meet performance conditions.</w:t>
      </w:r>
    </w:p>
    <w:p>
      <w:pPr>
        <w:spacing w:after="0" w:line="265" w:lineRule="exact"/>
        <w:rPr>
          <w:sz w:val="20"/>
          <w:szCs w:val="20"/>
          <w:color w:val="auto"/>
        </w:rPr>
      </w:pPr>
    </w:p>
    <w:tbl>
      <w:tblPr>
        <w:tblLayout w:type="fixed"/>
        <w:tblInd w:w="32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504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NAME</w:t>
            </w:r>
          </w:p>
        </w:tc>
        <w:tc>
          <w:tcPr>
            <w:tcW w:w="2360" w:type="dxa"/>
            <w:vAlign w:val="bottom"/>
          </w:tcPr>
          <w:p>
            <w:pPr>
              <w:jc w:val="right"/>
              <w:ind w:right="657"/>
              <w:spacing w:after="0"/>
              <w:rPr>
                <w:sz w:val="20"/>
                <w:szCs w:val="20"/>
                <w:color w:val="auto"/>
              </w:rPr>
            </w:pPr>
            <w:r>
              <w:rPr>
                <w:rFonts w:ascii="Arial" w:cs="Arial" w:eastAsia="Arial" w:hAnsi="Arial"/>
                <w:sz w:val="13"/>
                <w:szCs w:val="13"/>
                <w:b w:val="1"/>
                <w:bCs w:val="1"/>
                <w:color w:val="auto"/>
              </w:rPr>
              <w:t>VESTING</w:t>
            </w:r>
          </w:p>
        </w:tc>
        <w:tc>
          <w:tcPr>
            <w:tcW w:w="1560" w:type="dxa"/>
            <w:vAlign w:val="bottom"/>
            <w:vMerge w:val="restart"/>
          </w:tcPr>
          <w:p>
            <w:pPr>
              <w:jc w:val="right"/>
              <w:ind w:right="57"/>
              <w:spacing w:after="0"/>
              <w:rPr>
                <w:sz w:val="20"/>
                <w:szCs w:val="20"/>
                <w:color w:val="auto"/>
              </w:rPr>
            </w:pPr>
            <w:r>
              <w:rPr>
                <w:rFonts w:ascii="Arial" w:cs="Arial" w:eastAsia="Arial" w:hAnsi="Arial"/>
                <w:sz w:val="13"/>
                <w:szCs w:val="13"/>
                <w:b w:val="1"/>
                <w:bCs w:val="1"/>
                <w:color w:val="auto"/>
              </w:rPr>
              <w:t>SHARES (#)</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5040" w:type="dxa"/>
            <w:vAlign w:val="bottom"/>
            <w:vMerge w:val="continue"/>
          </w:tcPr>
          <w:p>
            <w:pPr>
              <w:spacing w:after="0"/>
              <w:rPr>
                <w:sz w:val="14"/>
                <w:szCs w:val="14"/>
                <w:color w:val="auto"/>
              </w:rPr>
            </w:pPr>
          </w:p>
        </w:tc>
        <w:tc>
          <w:tcPr>
            <w:tcW w:w="2360" w:type="dxa"/>
            <w:vAlign w:val="bottom"/>
          </w:tcPr>
          <w:p>
            <w:pPr>
              <w:jc w:val="right"/>
              <w:ind w:right="657"/>
              <w:spacing w:after="0"/>
              <w:rPr>
                <w:sz w:val="20"/>
                <w:szCs w:val="20"/>
                <w:color w:val="auto"/>
              </w:rPr>
            </w:pPr>
            <w:r>
              <w:rPr>
                <w:rFonts w:ascii="Arial" w:cs="Arial" w:eastAsia="Arial" w:hAnsi="Arial"/>
                <w:sz w:val="13"/>
                <w:szCs w:val="13"/>
                <w:b w:val="1"/>
                <w:bCs w:val="1"/>
                <w:color w:val="auto"/>
              </w:rPr>
              <w:t>DATE</w:t>
            </w: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120" w:type="dxa"/>
            <w:vAlign w:val="bottom"/>
            <w:shd w:val="clear" w:color="auto" w:fill="E6E6E6"/>
          </w:tcPr>
          <w:p>
            <w:pPr>
              <w:spacing w:after="0"/>
              <w:rPr>
                <w:sz w:val="20"/>
                <w:szCs w:val="20"/>
                <w:color w:val="auto"/>
              </w:rPr>
            </w:pPr>
          </w:p>
        </w:tc>
        <w:tc>
          <w:tcPr>
            <w:tcW w:w="5040" w:type="dxa"/>
            <w:vAlign w:val="bottom"/>
            <w:shd w:val="clear" w:color="auto" w:fill="E6E6E6"/>
          </w:tcPr>
          <w:p>
            <w:pPr>
              <w:ind w:left="60"/>
              <w:spacing w:after="0"/>
              <w:rPr>
                <w:sz w:val="20"/>
                <w:szCs w:val="20"/>
                <w:color w:val="auto"/>
              </w:rPr>
            </w:pPr>
            <w:r>
              <w:rPr>
                <w:rFonts w:ascii="Arial" w:cs="Arial" w:eastAsia="Arial" w:hAnsi="Arial"/>
                <w:sz w:val="13"/>
                <w:szCs w:val="13"/>
                <w:b w:val="1"/>
                <w:bCs w:val="1"/>
                <w:color w:val="auto"/>
              </w:rPr>
              <w:t>Efraim Grinberg</w:t>
            </w:r>
          </w:p>
        </w:tc>
        <w:tc>
          <w:tcPr>
            <w:tcW w:w="2360" w:type="dxa"/>
            <w:vAlign w:val="bottom"/>
            <w:shd w:val="clear" w:color="auto" w:fill="E6E6E6"/>
          </w:tcPr>
          <w:p>
            <w:pPr>
              <w:jc w:val="right"/>
              <w:ind w:right="657"/>
              <w:spacing w:after="0"/>
              <w:rPr>
                <w:sz w:val="20"/>
                <w:szCs w:val="20"/>
                <w:color w:val="auto"/>
              </w:rPr>
            </w:pPr>
            <w:r>
              <w:rPr>
                <w:rFonts w:ascii="Arial" w:cs="Arial" w:eastAsia="Arial" w:hAnsi="Arial"/>
                <w:sz w:val="13"/>
                <w:szCs w:val="13"/>
                <w:color w:val="auto"/>
              </w:rPr>
              <w:t>03/27/2026</w:t>
            </w:r>
          </w:p>
        </w:tc>
        <w:tc>
          <w:tcPr>
            <w:tcW w:w="15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34,953</w:t>
            </w:r>
          </w:p>
        </w:tc>
        <w:tc>
          <w:tcPr>
            <w:tcW w:w="0" w:type="dxa"/>
            <w:vAlign w:val="bottom"/>
          </w:tcPr>
          <w:p>
            <w:pPr>
              <w:spacing w:after="0"/>
              <w:rPr>
                <w:sz w:val="1"/>
                <w:szCs w:val="1"/>
                <w:color w:val="auto"/>
              </w:rPr>
            </w:pPr>
          </w:p>
        </w:tc>
      </w:tr>
      <w:tr>
        <w:trPr>
          <w:trHeight w:val="291"/>
        </w:trPr>
        <w:tc>
          <w:tcPr>
            <w:tcW w:w="120" w:type="dxa"/>
            <w:vAlign w:val="bottom"/>
            <w:shd w:val="clear" w:color="auto" w:fill="E6E6E6"/>
          </w:tcPr>
          <w:p>
            <w:pPr>
              <w:spacing w:after="0"/>
              <w:rPr>
                <w:sz w:val="24"/>
                <w:szCs w:val="24"/>
                <w:color w:val="auto"/>
              </w:rPr>
            </w:pPr>
          </w:p>
        </w:tc>
        <w:tc>
          <w:tcPr>
            <w:tcW w:w="5040" w:type="dxa"/>
            <w:vAlign w:val="bottom"/>
            <w:shd w:val="clear" w:color="auto" w:fill="E6E6E6"/>
          </w:tcPr>
          <w:p>
            <w:pPr>
              <w:spacing w:after="0"/>
              <w:rPr>
                <w:sz w:val="24"/>
                <w:szCs w:val="24"/>
                <w:color w:val="auto"/>
              </w:rPr>
            </w:pPr>
          </w:p>
        </w:tc>
        <w:tc>
          <w:tcPr>
            <w:tcW w:w="2360" w:type="dxa"/>
            <w:vAlign w:val="bottom"/>
            <w:shd w:val="clear" w:color="auto" w:fill="E6E6E6"/>
          </w:tcPr>
          <w:p>
            <w:pPr>
              <w:jc w:val="right"/>
              <w:ind w:right="657"/>
              <w:spacing w:after="0"/>
              <w:rPr>
                <w:sz w:val="20"/>
                <w:szCs w:val="20"/>
                <w:color w:val="auto"/>
              </w:rPr>
            </w:pPr>
            <w:r>
              <w:rPr>
                <w:rFonts w:ascii="Arial" w:cs="Arial" w:eastAsia="Arial" w:hAnsi="Arial"/>
                <w:sz w:val="13"/>
                <w:szCs w:val="13"/>
                <w:color w:val="auto"/>
              </w:rPr>
              <w:t>04/01/2027</w:t>
            </w:r>
          </w:p>
        </w:tc>
        <w:tc>
          <w:tcPr>
            <w:tcW w:w="15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35,998</w:t>
            </w:r>
          </w:p>
        </w:tc>
        <w:tc>
          <w:tcPr>
            <w:tcW w:w="0" w:type="dxa"/>
            <w:vAlign w:val="bottom"/>
          </w:tcPr>
          <w:p>
            <w:pPr>
              <w:spacing w:after="0"/>
              <w:rPr>
                <w:sz w:val="1"/>
                <w:szCs w:val="1"/>
                <w:color w:val="auto"/>
              </w:rPr>
            </w:pPr>
          </w:p>
        </w:tc>
      </w:tr>
      <w:tr>
        <w:trPr>
          <w:trHeight w:val="297"/>
        </w:trPr>
        <w:tc>
          <w:tcPr>
            <w:tcW w:w="120" w:type="dxa"/>
            <w:vAlign w:val="bottom"/>
            <w:shd w:val="clear" w:color="auto" w:fill="E6E6E6"/>
          </w:tcPr>
          <w:p>
            <w:pPr>
              <w:spacing w:after="0"/>
              <w:rPr>
                <w:sz w:val="24"/>
                <w:szCs w:val="24"/>
                <w:color w:val="auto"/>
              </w:rPr>
            </w:pPr>
          </w:p>
        </w:tc>
        <w:tc>
          <w:tcPr>
            <w:tcW w:w="5040" w:type="dxa"/>
            <w:vAlign w:val="bottom"/>
            <w:shd w:val="clear" w:color="auto" w:fill="E6E6E6"/>
          </w:tcPr>
          <w:p>
            <w:pPr>
              <w:spacing w:after="0"/>
              <w:rPr>
                <w:sz w:val="24"/>
                <w:szCs w:val="24"/>
                <w:color w:val="auto"/>
              </w:rPr>
            </w:pPr>
          </w:p>
        </w:tc>
        <w:tc>
          <w:tcPr>
            <w:tcW w:w="2360" w:type="dxa"/>
            <w:vAlign w:val="bottom"/>
            <w:shd w:val="clear" w:color="auto" w:fill="E6E6E6"/>
          </w:tcPr>
          <w:p>
            <w:pPr>
              <w:jc w:val="right"/>
              <w:ind w:right="657"/>
              <w:spacing w:after="0"/>
              <w:rPr>
                <w:sz w:val="20"/>
                <w:szCs w:val="20"/>
                <w:color w:val="auto"/>
              </w:rPr>
            </w:pPr>
            <w:r>
              <w:rPr>
                <w:rFonts w:ascii="Arial" w:cs="Arial" w:eastAsia="Arial" w:hAnsi="Arial"/>
                <w:sz w:val="13"/>
                <w:szCs w:val="13"/>
                <w:color w:val="auto"/>
              </w:rPr>
              <w:t>04/21/2028</w:t>
            </w:r>
          </w:p>
        </w:tc>
        <w:tc>
          <w:tcPr>
            <w:tcW w:w="15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144,766</w:t>
            </w:r>
          </w:p>
        </w:tc>
        <w:tc>
          <w:tcPr>
            <w:tcW w:w="0" w:type="dxa"/>
            <w:vAlign w:val="bottom"/>
          </w:tcPr>
          <w:p>
            <w:pPr>
              <w:spacing w:after="0"/>
              <w:rPr>
                <w:sz w:val="1"/>
                <w:szCs w:val="1"/>
                <w:color w:val="auto"/>
              </w:rPr>
            </w:pPr>
          </w:p>
        </w:tc>
      </w:tr>
      <w:tr>
        <w:trPr>
          <w:trHeight w:val="68"/>
        </w:trPr>
        <w:tc>
          <w:tcPr>
            <w:tcW w:w="120" w:type="dxa"/>
            <w:vAlign w:val="bottom"/>
            <w:shd w:val="clear" w:color="auto" w:fill="E6E6E6"/>
          </w:tcPr>
          <w:p>
            <w:pPr>
              <w:spacing w:after="0"/>
              <w:rPr>
                <w:sz w:val="5"/>
                <w:szCs w:val="5"/>
                <w:color w:val="auto"/>
              </w:rPr>
            </w:pPr>
          </w:p>
        </w:tc>
        <w:tc>
          <w:tcPr>
            <w:tcW w:w="5040" w:type="dxa"/>
            <w:vAlign w:val="bottom"/>
            <w:shd w:val="clear" w:color="auto" w:fill="E6E6E6"/>
          </w:tcPr>
          <w:p>
            <w:pPr>
              <w:spacing w:after="0"/>
              <w:rPr>
                <w:sz w:val="5"/>
                <w:szCs w:val="5"/>
                <w:color w:val="auto"/>
              </w:rPr>
            </w:pPr>
          </w:p>
        </w:tc>
        <w:tc>
          <w:tcPr>
            <w:tcW w:w="2360" w:type="dxa"/>
            <w:vAlign w:val="bottom"/>
            <w:shd w:val="clear" w:color="auto" w:fill="E6E6E6"/>
          </w:tcPr>
          <w:p>
            <w:pPr>
              <w:spacing w:after="0"/>
              <w:rPr>
                <w:sz w:val="5"/>
                <w:szCs w:val="5"/>
                <w:color w:val="auto"/>
              </w:rPr>
            </w:pPr>
          </w:p>
        </w:tc>
        <w:tc>
          <w:tcPr>
            <w:tcW w:w="156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120" w:type="dxa"/>
            <w:vAlign w:val="bottom"/>
          </w:tcPr>
          <w:p>
            <w:pPr>
              <w:spacing w:after="0"/>
              <w:rPr>
                <w:sz w:val="20"/>
                <w:szCs w:val="20"/>
                <w:color w:val="auto"/>
              </w:rPr>
            </w:pPr>
          </w:p>
        </w:tc>
        <w:tc>
          <w:tcPr>
            <w:tcW w:w="5040" w:type="dxa"/>
            <w:vAlign w:val="bottom"/>
          </w:tcPr>
          <w:p>
            <w:pPr>
              <w:ind w:left="60"/>
              <w:spacing w:after="0"/>
              <w:rPr>
                <w:sz w:val="20"/>
                <w:szCs w:val="20"/>
                <w:color w:val="auto"/>
              </w:rPr>
            </w:pPr>
            <w:r>
              <w:rPr>
                <w:rFonts w:ascii="Arial" w:cs="Arial" w:eastAsia="Arial" w:hAnsi="Arial"/>
                <w:sz w:val="13"/>
                <w:szCs w:val="13"/>
                <w:b w:val="1"/>
                <w:bCs w:val="1"/>
                <w:color w:val="auto"/>
              </w:rPr>
              <w:t>Sallie DeMarsilis</w:t>
            </w:r>
          </w:p>
        </w:tc>
        <w:tc>
          <w:tcPr>
            <w:tcW w:w="2360" w:type="dxa"/>
            <w:vAlign w:val="bottom"/>
          </w:tcPr>
          <w:p>
            <w:pPr>
              <w:jc w:val="right"/>
              <w:ind w:right="657"/>
              <w:spacing w:after="0"/>
              <w:rPr>
                <w:sz w:val="20"/>
                <w:szCs w:val="20"/>
                <w:color w:val="auto"/>
              </w:rPr>
            </w:pPr>
            <w:r>
              <w:rPr>
                <w:rFonts w:ascii="Arial" w:cs="Arial" w:eastAsia="Arial" w:hAnsi="Arial"/>
                <w:sz w:val="13"/>
                <w:szCs w:val="13"/>
                <w:color w:val="auto"/>
              </w:rPr>
              <w:t>03/27/2026</w:t>
            </w:r>
          </w:p>
        </w:tc>
        <w:tc>
          <w:tcPr>
            <w:tcW w:w="1560" w:type="dxa"/>
            <w:vAlign w:val="bottom"/>
          </w:tcPr>
          <w:p>
            <w:pPr>
              <w:jc w:val="right"/>
              <w:ind w:right="57"/>
              <w:spacing w:after="0"/>
              <w:rPr>
                <w:sz w:val="20"/>
                <w:szCs w:val="20"/>
                <w:color w:val="auto"/>
              </w:rPr>
            </w:pPr>
            <w:r>
              <w:rPr>
                <w:rFonts w:ascii="Arial" w:cs="Arial" w:eastAsia="Arial" w:hAnsi="Arial"/>
                <w:sz w:val="13"/>
                <w:szCs w:val="13"/>
                <w:color w:val="auto"/>
              </w:rPr>
              <w:t>8,520</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360" w:type="dxa"/>
            <w:vAlign w:val="bottom"/>
          </w:tcPr>
          <w:p>
            <w:pPr>
              <w:jc w:val="right"/>
              <w:ind w:right="657"/>
              <w:spacing w:after="0"/>
              <w:rPr>
                <w:sz w:val="20"/>
                <w:szCs w:val="20"/>
                <w:color w:val="auto"/>
              </w:rPr>
            </w:pPr>
            <w:r>
              <w:rPr>
                <w:rFonts w:ascii="Arial" w:cs="Arial" w:eastAsia="Arial" w:hAnsi="Arial"/>
                <w:sz w:val="13"/>
                <w:szCs w:val="13"/>
                <w:color w:val="auto"/>
              </w:rPr>
              <w:t>04/01/2027</w:t>
            </w:r>
          </w:p>
        </w:tc>
        <w:tc>
          <w:tcPr>
            <w:tcW w:w="1560" w:type="dxa"/>
            <w:vAlign w:val="bottom"/>
          </w:tcPr>
          <w:p>
            <w:pPr>
              <w:jc w:val="right"/>
              <w:ind w:right="57"/>
              <w:spacing w:after="0"/>
              <w:rPr>
                <w:sz w:val="20"/>
                <w:szCs w:val="20"/>
                <w:color w:val="auto"/>
              </w:rPr>
            </w:pPr>
            <w:r>
              <w:rPr>
                <w:rFonts w:ascii="Arial" w:cs="Arial" w:eastAsia="Arial" w:hAnsi="Arial"/>
                <w:sz w:val="13"/>
                <w:szCs w:val="13"/>
                <w:color w:val="auto"/>
              </w:rPr>
              <w:t>9,082</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360" w:type="dxa"/>
            <w:vAlign w:val="bottom"/>
          </w:tcPr>
          <w:p>
            <w:pPr>
              <w:jc w:val="right"/>
              <w:ind w:right="657"/>
              <w:spacing w:after="0"/>
              <w:rPr>
                <w:sz w:val="20"/>
                <w:szCs w:val="20"/>
                <w:color w:val="auto"/>
              </w:rPr>
            </w:pPr>
            <w:r>
              <w:rPr>
                <w:rFonts w:ascii="Arial" w:cs="Arial" w:eastAsia="Arial" w:hAnsi="Arial"/>
                <w:sz w:val="13"/>
                <w:szCs w:val="13"/>
                <w:color w:val="auto"/>
              </w:rPr>
              <w:t>04/21/2028</w:t>
            </w:r>
          </w:p>
        </w:tc>
        <w:tc>
          <w:tcPr>
            <w:tcW w:w="1560" w:type="dxa"/>
            <w:vAlign w:val="bottom"/>
          </w:tcPr>
          <w:p>
            <w:pPr>
              <w:jc w:val="right"/>
              <w:ind w:right="57"/>
              <w:spacing w:after="0"/>
              <w:rPr>
                <w:sz w:val="20"/>
                <w:szCs w:val="20"/>
                <w:color w:val="auto"/>
              </w:rPr>
            </w:pPr>
            <w:r>
              <w:rPr>
                <w:rFonts w:ascii="Arial" w:cs="Arial" w:eastAsia="Arial" w:hAnsi="Arial"/>
                <w:sz w:val="13"/>
                <w:szCs w:val="13"/>
                <w:color w:val="auto"/>
              </w:rPr>
              <w:t>37,458</w:t>
            </w: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120" w:type="dxa"/>
            <w:vAlign w:val="bottom"/>
            <w:shd w:val="clear" w:color="auto" w:fill="E6E6E6"/>
          </w:tcPr>
          <w:p>
            <w:pPr>
              <w:spacing w:after="0"/>
              <w:rPr>
                <w:sz w:val="20"/>
                <w:szCs w:val="20"/>
                <w:color w:val="auto"/>
              </w:rPr>
            </w:pPr>
          </w:p>
        </w:tc>
        <w:tc>
          <w:tcPr>
            <w:tcW w:w="5040" w:type="dxa"/>
            <w:vAlign w:val="bottom"/>
            <w:shd w:val="clear" w:color="auto" w:fill="E6E6E6"/>
          </w:tcPr>
          <w:p>
            <w:pPr>
              <w:ind w:left="60"/>
              <w:spacing w:after="0"/>
              <w:rPr>
                <w:sz w:val="20"/>
                <w:szCs w:val="20"/>
                <w:color w:val="auto"/>
              </w:rPr>
            </w:pPr>
            <w:r>
              <w:rPr>
                <w:rFonts w:ascii="Arial" w:cs="Arial" w:eastAsia="Arial" w:hAnsi="Arial"/>
                <w:sz w:val="13"/>
                <w:szCs w:val="13"/>
                <w:b w:val="1"/>
                <w:bCs w:val="1"/>
                <w:color w:val="auto"/>
              </w:rPr>
              <w:t>Behzad Soltani</w:t>
            </w:r>
          </w:p>
        </w:tc>
        <w:tc>
          <w:tcPr>
            <w:tcW w:w="2360" w:type="dxa"/>
            <w:vAlign w:val="bottom"/>
            <w:shd w:val="clear" w:color="auto" w:fill="E6E6E6"/>
          </w:tcPr>
          <w:p>
            <w:pPr>
              <w:jc w:val="right"/>
              <w:ind w:right="657"/>
              <w:spacing w:after="0"/>
              <w:rPr>
                <w:sz w:val="20"/>
                <w:szCs w:val="20"/>
                <w:color w:val="auto"/>
              </w:rPr>
            </w:pPr>
            <w:r>
              <w:rPr>
                <w:rFonts w:ascii="Arial" w:cs="Arial" w:eastAsia="Arial" w:hAnsi="Arial"/>
                <w:sz w:val="13"/>
                <w:szCs w:val="13"/>
                <w:color w:val="auto"/>
              </w:rPr>
              <w:t>03/27/2026</w:t>
            </w:r>
          </w:p>
        </w:tc>
        <w:tc>
          <w:tcPr>
            <w:tcW w:w="15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7,864</w:t>
            </w:r>
          </w:p>
        </w:tc>
        <w:tc>
          <w:tcPr>
            <w:tcW w:w="0" w:type="dxa"/>
            <w:vAlign w:val="bottom"/>
          </w:tcPr>
          <w:p>
            <w:pPr>
              <w:spacing w:after="0"/>
              <w:rPr>
                <w:sz w:val="1"/>
                <w:szCs w:val="1"/>
                <w:color w:val="auto"/>
              </w:rPr>
            </w:pPr>
          </w:p>
        </w:tc>
      </w:tr>
      <w:tr>
        <w:trPr>
          <w:trHeight w:val="291"/>
        </w:trPr>
        <w:tc>
          <w:tcPr>
            <w:tcW w:w="120" w:type="dxa"/>
            <w:vAlign w:val="bottom"/>
            <w:shd w:val="clear" w:color="auto" w:fill="E6E6E6"/>
          </w:tcPr>
          <w:p>
            <w:pPr>
              <w:spacing w:after="0"/>
              <w:rPr>
                <w:sz w:val="24"/>
                <w:szCs w:val="24"/>
                <w:color w:val="auto"/>
              </w:rPr>
            </w:pPr>
          </w:p>
        </w:tc>
        <w:tc>
          <w:tcPr>
            <w:tcW w:w="5040" w:type="dxa"/>
            <w:vAlign w:val="bottom"/>
            <w:shd w:val="clear" w:color="auto" w:fill="E6E6E6"/>
          </w:tcPr>
          <w:p>
            <w:pPr>
              <w:spacing w:after="0"/>
              <w:rPr>
                <w:sz w:val="24"/>
                <w:szCs w:val="24"/>
                <w:color w:val="auto"/>
              </w:rPr>
            </w:pPr>
          </w:p>
        </w:tc>
        <w:tc>
          <w:tcPr>
            <w:tcW w:w="2360" w:type="dxa"/>
            <w:vAlign w:val="bottom"/>
            <w:shd w:val="clear" w:color="auto" w:fill="E6E6E6"/>
          </w:tcPr>
          <w:p>
            <w:pPr>
              <w:jc w:val="right"/>
              <w:ind w:right="657"/>
              <w:spacing w:after="0"/>
              <w:rPr>
                <w:sz w:val="20"/>
                <w:szCs w:val="20"/>
                <w:color w:val="auto"/>
              </w:rPr>
            </w:pPr>
            <w:r>
              <w:rPr>
                <w:rFonts w:ascii="Arial" w:cs="Arial" w:eastAsia="Arial" w:hAnsi="Arial"/>
                <w:sz w:val="13"/>
                <w:szCs w:val="13"/>
                <w:color w:val="auto"/>
              </w:rPr>
              <w:t>04/01/2027</w:t>
            </w:r>
          </w:p>
        </w:tc>
        <w:tc>
          <w:tcPr>
            <w:tcW w:w="15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8,383</w:t>
            </w:r>
          </w:p>
        </w:tc>
        <w:tc>
          <w:tcPr>
            <w:tcW w:w="0" w:type="dxa"/>
            <w:vAlign w:val="bottom"/>
          </w:tcPr>
          <w:p>
            <w:pPr>
              <w:spacing w:after="0"/>
              <w:rPr>
                <w:sz w:val="1"/>
                <w:szCs w:val="1"/>
                <w:color w:val="auto"/>
              </w:rPr>
            </w:pPr>
          </w:p>
        </w:tc>
      </w:tr>
      <w:tr>
        <w:trPr>
          <w:trHeight w:val="297"/>
        </w:trPr>
        <w:tc>
          <w:tcPr>
            <w:tcW w:w="120" w:type="dxa"/>
            <w:vAlign w:val="bottom"/>
            <w:shd w:val="clear" w:color="auto" w:fill="E6E6E6"/>
          </w:tcPr>
          <w:p>
            <w:pPr>
              <w:spacing w:after="0"/>
              <w:rPr>
                <w:sz w:val="24"/>
                <w:szCs w:val="24"/>
                <w:color w:val="auto"/>
              </w:rPr>
            </w:pPr>
          </w:p>
        </w:tc>
        <w:tc>
          <w:tcPr>
            <w:tcW w:w="5040" w:type="dxa"/>
            <w:vAlign w:val="bottom"/>
            <w:shd w:val="clear" w:color="auto" w:fill="E6E6E6"/>
          </w:tcPr>
          <w:p>
            <w:pPr>
              <w:spacing w:after="0"/>
              <w:rPr>
                <w:sz w:val="24"/>
                <w:szCs w:val="24"/>
                <w:color w:val="auto"/>
              </w:rPr>
            </w:pPr>
          </w:p>
        </w:tc>
        <w:tc>
          <w:tcPr>
            <w:tcW w:w="2360" w:type="dxa"/>
            <w:vAlign w:val="bottom"/>
            <w:shd w:val="clear" w:color="auto" w:fill="E6E6E6"/>
          </w:tcPr>
          <w:p>
            <w:pPr>
              <w:jc w:val="right"/>
              <w:ind w:right="657"/>
              <w:spacing w:after="0"/>
              <w:rPr>
                <w:sz w:val="20"/>
                <w:szCs w:val="20"/>
                <w:color w:val="auto"/>
              </w:rPr>
            </w:pPr>
            <w:r>
              <w:rPr>
                <w:rFonts w:ascii="Arial" w:cs="Arial" w:eastAsia="Arial" w:hAnsi="Arial"/>
                <w:sz w:val="13"/>
                <w:szCs w:val="13"/>
                <w:color w:val="auto"/>
              </w:rPr>
              <w:t>04/21/2028</w:t>
            </w:r>
          </w:p>
        </w:tc>
        <w:tc>
          <w:tcPr>
            <w:tcW w:w="15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34,577</w:t>
            </w:r>
          </w:p>
        </w:tc>
        <w:tc>
          <w:tcPr>
            <w:tcW w:w="0" w:type="dxa"/>
            <w:vAlign w:val="bottom"/>
          </w:tcPr>
          <w:p>
            <w:pPr>
              <w:spacing w:after="0"/>
              <w:rPr>
                <w:sz w:val="1"/>
                <w:szCs w:val="1"/>
                <w:color w:val="auto"/>
              </w:rPr>
            </w:pPr>
          </w:p>
        </w:tc>
      </w:tr>
      <w:tr>
        <w:trPr>
          <w:trHeight w:val="68"/>
        </w:trPr>
        <w:tc>
          <w:tcPr>
            <w:tcW w:w="120" w:type="dxa"/>
            <w:vAlign w:val="bottom"/>
            <w:shd w:val="clear" w:color="auto" w:fill="E6E6E6"/>
          </w:tcPr>
          <w:p>
            <w:pPr>
              <w:spacing w:after="0"/>
              <w:rPr>
                <w:sz w:val="5"/>
                <w:szCs w:val="5"/>
                <w:color w:val="auto"/>
              </w:rPr>
            </w:pPr>
          </w:p>
        </w:tc>
        <w:tc>
          <w:tcPr>
            <w:tcW w:w="5040" w:type="dxa"/>
            <w:vAlign w:val="bottom"/>
            <w:shd w:val="clear" w:color="auto" w:fill="E6E6E6"/>
          </w:tcPr>
          <w:p>
            <w:pPr>
              <w:spacing w:after="0"/>
              <w:rPr>
                <w:sz w:val="5"/>
                <w:szCs w:val="5"/>
                <w:color w:val="auto"/>
              </w:rPr>
            </w:pPr>
          </w:p>
        </w:tc>
        <w:tc>
          <w:tcPr>
            <w:tcW w:w="2360" w:type="dxa"/>
            <w:vAlign w:val="bottom"/>
            <w:shd w:val="clear" w:color="auto" w:fill="E6E6E6"/>
          </w:tcPr>
          <w:p>
            <w:pPr>
              <w:spacing w:after="0"/>
              <w:rPr>
                <w:sz w:val="5"/>
                <w:szCs w:val="5"/>
                <w:color w:val="auto"/>
              </w:rPr>
            </w:pPr>
          </w:p>
        </w:tc>
        <w:tc>
          <w:tcPr>
            <w:tcW w:w="156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120" w:type="dxa"/>
            <w:vAlign w:val="bottom"/>
          </w:tcPr>
          <w:p>
            <w:pPr>
              <w:spacing w:after="0"/>
              <w:rPr>
                <w:sz w:val="20"/>
                <w:szCs w:val="20"/>
                <w:color w:val="auto"/>
              </w:rPr>
            </w:pPr>
          </w:p>
        </w:tc>
        <w:tc>
          <w:tcPr>
            <w:tcW w:w="5040" w:type="dxa"/>
            <w:vAlign w:val="bottom"/>
          </w:tcPr>
          <w:p>
            <w:pPr>
              <w:ind w:left="60"/>
              <w:spacing w:after="0"/>
              <w:rPr>
                <w:sz w:val="20"/>
                <w:szCs w:val="20"/>
                <w:color w:val="auto"/>
              </w:rPr>
            </w:pPr>
            <w:r>
              <w:rPr>
                <w:rFonts w:ascii="Arial" w:cs="Arial" w:eastAsia="Arial" w:hAnsi="Arial"/>
                <w:sz w:val="13"/>
                <w:szCs w:val="13"/>
                <w:b w:val="1"/>
                <w:bCs w:val="1"/>
                <w:color w:val="auto"/>
              </w:rPr>
              <w:t>Mitchell Sussis</w:t>
            </w:r>
          </w:p>
        </w:tc>
        <w:tc>
          <w:tcPr>
            <w:tcW w:w="2360" w:type="dxa"/>
            <w:vAlign w:val="bottom"/>
          </w:tcPr>
          <w:p>
            <w:pPr>
              <w:jc w:val="right"/>
              <w:ind w:right="657"/>
              <w:spacing w:after="0"/>
              <w:rPr>
                <w:sz w:val="20"/>
                <w:szCs w:val="20"/>
                <w:color w:val="auto"/>
              </w:rPr>
            </w:pPr>
            <w:r>
              <w:rPr>
                <w:rFonts w:ascii="Arial" w:cs="Arial" w:eastAsia="Arial" w:hAnsi="Arial"/>
                <w:sz w:val="13"/>
                <w:szCs w:val="13"/>
                <w:color w:val="auto"/>
              </w:rPr>
              <w:t>03/27/2026</w:t>
            </w:r>
          </w:p>
        </w:tc>
        <w:tc>
          <w:tcPr>
            <w:tcW w:w="1560" w:type="dxa"/>
            <w:vAlign w:val="bottom"/>
          </w:tcPr>
          <w:p>
            <w:pPr>
              <w:jc w:val="right"/>
              <w:ind w:right="57"/>
              <w:spacing w:after="0"/>
              <w:rPr>
                <w:sz w:val="20"/>
                <w:szCs w:val="20"/>
                <w:color w:val="auto"/>
              </w:rPr>
            </w:pPr>
            <w:r>
              <w:rPr>
                <w:rFonts w:ascii="Arial" w:cs="Arial" w:eastAsia="Arial" w:hAnsi="Arial"/>
                <w:sz w:val="13"/>
                <w:szCs w:val="13"/>
                <w:color w:val="auto"/>
              </w:rPr>
              <w:t>3,932</w:t>
            </w:r>
          </w:p>
        </w:tc>
        <w:tc>
          <w:tcPr>
            <w:tcW w:w="0" w:type="dxa"/>
            <w:vAlign w:val="bottom"/>
          </w:tcPr>
          <w:p>
            <w:pPr>
              <w:spacing w:after="0"/>
              <w:rPr>
                <w:sz w:val="1"/>
                <w:szCs w:val="1"/>
                <w:color w:val="auto"/>
              </w:rPr>
            </w:pPr>
          </w:p>
        </w:tc>
      </w:tr>
      <w:tr>
        <w:trPr>
          <w:trHeight w:val="291"/>
        </w:trPr>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360" w:type="dxa"/>
            <w:vAlign w:val="bottom"/>
          </w:tcPr>
          <w:p>
            <w:pPr>
              <w:jc w:val="right"/>
              <w:ind w:right="657"/>
              <w:spacing w:after="0"/>
              <w:rPr>
                <w:sz w:val="20"/>
                <w:szCs w:val="20"/>
                <w:color w:val="auto"/>
              </w:rPr>
            </w:pPr>
            <w:r>
              <w:rPr>
                <w:rFonts w:ascii="Arial" w:cs="Arial" w:eastAsia="Arial" w:hAnsi="Arial"/>
                <w:sz w:val="13"/>
                <w:szCs w:val="13"/>
                <w:color w:val="auto"/>
              </w:rPr>
              <w:t>04/01/2027</w:t>
            </w:r>
          </w:p>
        </w:tc>
        <w:tc>
          <w:tcPr>
            <w:tcW w:w="1560" w:type="dxa"/>
            <w:vAlign w:val="bottom"/>
          </w:tcPr>
          <w:p>
            <w:pPr>
              <w:jc w:val="right"/>
              <w:ind w:right="57"/>
              <w:spacing w:after="0"/>
              <w:rPr>
                <w:sz w:val="20"/>
                <w:szCs w:val="20"/>
                <w:color w:val="auto"/>
              </w:rPr>
            </w:pPr>
            <w:r>
              <w:rPr>
                <w:rFonts w:ascii="Arial" w:cs="Arial" w:eastAsia="Arial" w:hAnsi="Arial"/>
                <w:sz w:val="13"/>
                <w:szCs w:val="13"/>
                <w:color w:val="auto"/>
              </w:rPr>
              <w:t>4,192</w:t>
            </w:r>
          </w:p>
        </w:tc>
        <w:tc>
          <w:tcPr>
            <w:tcW w:w="0" w:type="dxa"/>
            <w:vAlign w:val="bottom"/>
          </w:tcPr>
          <w:p>
            <w:pPr>
              <w:spacing w:after="0"/>
              <w:rPr>
                <w:sz w:val="1"/>
                <w:szCs w:val="1"/>
                <w:color w:val="auto"/>
              </w:rPr>
            </w:pPr>
          </w:p>
        </w:tc>
      </w:tr>
      <w:tr>
        <w:trPr>
          <w:trHeight w:val="297"/>
        </w:trPr>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360" w:type="dxa"/>
            <w:vAlign w:val="bottom"/>
          </w:tcPr>
          <w:p>
            <w:pPr>
              <w:jc w:val="right"/>
              <w:ind w:right="657"/>
              <w:spacing w:after="0"/>
              <w:rPr>
                <w:sz w:val="20"/>
                <w:szCs w:val="20"/>
                <w:color w:val="auto"/>
              </w:rPr>
            </w:pPr>
            <w:r>
              <w:rPr>
                <w:rFonts w:ascii="Arial" w:cs="Arial" w:eastAsia="Arial" w:hAnsi="Arial"/>
                <w:sz w:val="13"/>
                <w:szCs w:val="13"/>
                <w:color w:val="auto"/>
              </w:rPr>
              <w:t>04/21/2028</w:t>
            </w:r>
          </w:p>
        </w:tc>
        <w:tc>
          <w:tcPr>
            <w:tcW w:w="1560" w:type="dxa"/>
            <w:vAlign w:val="bottom"/>
          </w:tcPr>
          <w:p>
            <w:pPr>
              <w:jc w:val="right"/>
              <w:ind w:right="57"/>
              <w:spacing w:after="0"/>
              <w:rPr>
                <w:sz w:val="20"/>
                <w:szCs w:val="20"/>
                <w:color w:val="auto"/>
              </w:rPr>
            </w:pPr>
            <w:r>
              <w:rPr>
                <w:rFonts w:ascii="Arial" w:cs="Arial" w:eastAsia="Arial" w:hAnsi="Arial"/>
                <w:sz w:val="13"/>
                <w:szCs w:val="13"/>
                <w:color w:val="auto"/>
              </w:rPr>
              <w:t>17,634</w:t>
            </w:r>
          </w:p>
        </w:tc>
        <w:tc>
          <w:tcPr>
            <w:tcW w:w="0" w:type="dxa"/>
            <w:vAlign w:val="bottom"/>
          </w:tcPr>
          <w:p>
            <w:pPr>
              <w:spacing w:after="0"/>
              <w:rPr>
                <w:sz w:val="1"/>
                <w:szCs w:val="1"/>
                <w:color w:val="auto"/>
              </w:rPr>
            </w:pPr>
          </w:p>
        </w:tc>
      </w:tr>
      <w:tr>
        <w:trPr>
          <w:trHeight w:val="68"/>
        </w:trPr>
        <w:tc>
          <w:tcPr>
            <w:tcW w:w="120" w:type="dxa"/>
            <w:vAlign w:val="bottom"/>
          </w:tcPr>
          <w:p>
            <w:pPr>
              <w:spacing w:after="0"/>
              <w:rPr>
                <w:sz w:val="5"/>
                <w:szCs w:val="5"/>
                <w:color w:val="auto"/>
              </w:rPr>
            </w:pPr>
          </w:p>
        </w:tc>
        <w:tc>
          <w:tcPr>
            <w:tcW w:w="504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5"/>
        </w:trPr>
        <w:tc>
          <w:tcPr>
            <w:tcW w:w="120" w:type="dxa"/>
            <w:vAlign w:val="bottom"/>
            <w:shd w:val="clear" w:color="auto" w:fill="E6E6E6"/>
          </w:tcPr>
          <w:p>
            <w:pPr>
              <w:spacing w:after="0"/>
              <w:rPr>
                <w:sz w:val="20"/>
                <w:szCs w:val="20"/>
                <w:color w:val="auto"/>
              </w:rPr>
            </w:pPr>
          </w:p>
        </w:tc>
        <w:tc>
          <w:tcPr>
            <w:tcW w:w="5040" w:type="dxa"/>
            <w:vAlign w:val="bottom"/>
            <w:shd w:val="clear" w:color="auto" w:fill="E6E6E6"/>
          </w:tcPr>
          <w:p>
            <w:pPr>
              <w:ind w:left="60"/>
              <w:spacing w:after="0"/>
              <w:rPr>
                <w:sz w:val="20"/>
                <w:szCs w:val="20"/>
                <w:color w:val="auto"/>
              </w:rPr>
            </w:pPr>
            <w:r>
              <w:rPr>
                <w:rFonts w:ascii="Arial" w:cs="Arial" w:eastAsia="Arial" w:hAnsi="Arial"/>
                <w:sz w:val="13"/>
                <w:szCs w:val="13"/>
                <w:b w:val="1"/>
                <w:bCs w:val="1"/>
                <w:color w:val="auto"/>
              </w:rPr>
              <w:t>Michelle Kennedy</w:t>
            </w:r>
          </w:p>
        </w:tc>
        <w:tc>
          <w:tcPr>
            <w:tcW w:w="2360" w:type="dxa"/>
            <w:vAlign w:val="bottom"/>
            <w:shd w:val="clear" w:color="auto" w:fill="E6E6E6"/>
          </w:tcPr>
          <w:p>
            <w:pPr>
              <w:jc w:val="right"/>
              <w:ind w:right="657"/>
              <w:spacing w:after="0"/>
              <w:rPr>
                <w:sz w:val="20"/>
                <w:szCs w:val="20"/>
                <w:color w:val="auto"/>
              </w:rPr>
            </w:pPr>
            <w:r>
              <w:rPr>
                <w:rFonts w:ascii="Arial" w:cs="Arial" w:eastAsia="Arial" w:hAnsi="Arial"/>
                <w:sz w:val="13"/>
                <w:szCs w:val="13"/>
                <w:color w:val="auto"/>
              </w:rPr>
              <w:t>03/27/2026</w:t>
            </w:r>
          </w:p>
        </w:tc>
        <w:tc>
          <w:tcPr>
            <w:tcW w:w="15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5,971</w:t>
            </w:r>
          </w:p>
        </w:tc>
        <w:tc>
          <w:tcPr>
            <w:tcW w:w="0" w:type="dxa"/>
            <w:vAlign w:val="bottom"/>
          </w:tcPr>
          <w:p>
            <w:pPr>
              <w:spacing w:after="0"/>
              <w:rPr>
                <w:sz w:val="1"/>
                <w:szCs w:val="1"/>
                <w:color w:val="auto"/>
              </w:rPr>
            </w:pPr>
          </w:p>
        </w:tc>
      </w:tr>
      <w:tr>
        <w:trPr>
          <w:trHeight w:val="291"/>
        </w:trPr>
        <w:tc>
          <w:tcPr>
            <w:tcW w:w="120" w:type="dxa"/>
            <w:vAlign w:val="bottom"/>
            <w:shd w:val="clear" w:color="auto" w:fill="E6E6E6"/>
          </w:tcPr>
          <w:p>
            <w:pPr>
              <w:spacing w:after="0"/>
              <w:rPr>
                <w:sz w:val="24"/>
                <w:szCs w:val="24"/>
                <w:color w:val="auto"/>
              </w:rPr>
            </w:pPr>
          </w:p>
        </w:tc>
        <w:tc>
          <w:tcPr>
            <w:tcW w:w="5040" w:type="dxa"/>
            <w:vAlign w:val="bottom"/>
            <w:shd w:val="clear" w:color="auto" w:fill="E6E6E6"/>
          </w:tcPr>
          <w:p>
            <w:pPr>
              <w:spacing w:after="0"/>
              <w:rPr>
                <w:sz w:val="24"/>
                <w:szCs w:val="24"/>
                <w:color w:val="auto"/>
              </w:rPr>
            </w:pPr>
          </w:p>
        </w:tc>
        <w:tc>
          <w:tcPr>
            <w:tcW w:w="2360" w:type="dxa"/>
            <w:vAlign w:val="bottom"/>
            <w:shd w:val="clear" w:color="auto" w:fill="E6E6E6"/>
          </w:tcPr>
          <w:p>
            <w:pPr>
              <w:jc w:val="right"/>
              <w:ind w:right="657"/>
              <w:spacing w:after="0"/>
              <w:rPr>
                <w:sz w:val="20"/>
                <w:szCs w:val="20"/>
                <w:color w:val="auto"/>
              </w:rPr>
            </w:pPr>
            <w:r>
              <w:rPr>
                <w:rFonts w:ascii="Arial" w:cs="Arial" w:eastAsia="Arial" w:hAnsi="Arial"/>
                <w:sz w:val="13"/>
                <w:szCs w:val="13"/>
                <w:color w:val="auto"/>
              </w:rPr>
              <w:t>04/01/2027</w:t>
            </w:r>
          </w:p>
        </w:tc>
        <w:tc>
          <w:tcPr>
            <w:tcW w:w="15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4,192</w:t>
            </w:r>
          </w:p>
        </w:tc>
        <w:tc>
          <w:tcPr>
            <w:tcW w:w="0" w:type="dxa"/>
            <w:vAlign w:val="bottom"/>
          </w:tcPr>
          <w:p>
            <w:pPr>
              <w:spacing w:after="0"/>
              <w:rPr>
                <w:sz w:val="1"/>
                <w:szCs w:val="1"/>
                <w:color w:val="auto"/>
              </w:rPr>
            </w:pPr>
          </w:p>
        </w:tc>
      </w:tr>
      <w:tr>
        <w:trPr>
          <w:trHeight w:val="284"/>
        </w:trPr>
        <w:tc>
          <w:tcPr>
            <w:tcW w:w="120" w:type="dxa"/>
            <w:vAlign w:val="bottom"/>
            <w:shd w:val="clear" w:color="auto" w:fill="E6E6E6"/>
          </w:tcPr>
          <w:p>
            <w:pPr>
              <w:spacing w:after="0"/>
              <w:rPr>
                <w:sz w:val="24"/>
                <w:szCs w:val="24"/>
                <w:color w:val="auto"/>
              </w:rPr>
            </w:pPr>
          </w:p>
        </w:tc>
        <w:tc>
          <w:tcPr>
            <w:tcW w:w="5040" w:type="dxa"/>
            <w:vAlign w:val="bottom"/>
            <w:shd w:val="clear" w:color="auto" w:fill="E6E6E6"/>
          </w:tcPr>
          <w:p>
            <w:pPr>
              <w:spacing w:after="0"/>
              <w:rPr>
                <w:sz w:val="24"/>
                <w:szCs w:val="24"/>
                <w:color w:val="auto"/>
              </w:rPr>
            </w:pPr>
          </w:p>
        </w:tc>
        <w:tc>
          <w:tcPr>
            <w:tcW w:w="2360" w:type="dxa"/>
            <w:vAlign w:val="bottom"/>
            <w:shd w:val="clear" w:color="auto" w:fill="E6E6E6"/>
          </w:tcPr>
          <w:p>
            <w:pPr>
              <w:jc w:val="right"/>
              <w:ind w:right="657"/>
              <w:spacing w:after="0"/>
              <w:rPr>
                <w:sz w:val="20"/>
                <w:szCs w:val="20"/>
                <w:color w:val="auto"/>
              </w:rPr>
            </w:pPr>
            <w:r>
              <w:rPr>
                <w:rFonts w:ascii="Arial" w:cs="Arial" w:eastAsia="Arial" w:hAnsi="Arial"/>
                <w:sz w:val="13"/>
                <w:szCs w:val="13"/>
                <w:color w:val="auto"/>
              </w:rPr>
              <w:t>04/21/2028</w:t>
            </w:r>
          </w:p>
        </w:tc>
        <w:tc>
          <w:tcPr>
            <w:tcW w:w="1560" w:type="dxa"/>
            <w:vAlign w:val="bottom"/>
            <w:shd w:val="clear" w:color="auto" w:fill="E6E6E6"/>
          </w:tcPr>
          <w:p>
            <w:pPr>
              <w:jc w:val="right"/>
              <w:ind w:right="57"/>
              <w:spacing w:after="0"/>
              <w:rPr>
                <w:sz w:val="20"/>
                <w:szCs w:val="20"/>
                <w:color w:val="auto"/>
              </w:rPr>
            </w:pPr>
            <w:r>
              <w:rPr>
                <w:rFonts w:ascii="Arial" w:cs="Arial" w:eastAsia="Arial" w:hAnsi="Arial"/>
                <w:sz w:val="13"/>
                <w:szCs w:val="13"/>
                <w:color w:val="auto"/>
              </w:rPr>
              <w:t>17,634</w:t>
            </w:r>
          </w:p>
        </w:tc>
        <w:tc>
          <w:tcPr>
            <w:tcW w:w="0" w:type="dxa"/>
            <w:vAlign w:val="bottom"/>
          </w:tcPr>
          <w:p>
            <w:pPr>
              <w:spacing w:after="0"/>
              <w:rPr>
                <w:sz w:val="1"/>
                <w:szCs w:val="1"/>
                <w:color w:val="auto"/>
              </w:rPr>
            </w:pPr>
          </w:p>
        </w:tc>
      </w:tr>
      <w:tr>
        <w:trPr>
          <w:trHeight w:val="68"/>
        </w:trPr>
        <w:tc>
          <w:tcPr>
            <w:tcW w:w="120" w:type="dxa"/>
            <w:vAlign w:val="bottom"/>
            <w:tcBorders>
              <w:bottom w:val="single" w:sz="8" w:color="D9BA05"/>
            </w:tcBorders>
            <w:shd w:val="clear" w:color="auto" w:fill="E6E6E6"/>
          </w:tcPr>
          <w:p>
            <w:pPr>
              <w:spacing w:after="0"/>
              <w:rPr>
                <w:sz w:val="5"/>
                <w:szCs w:val="5"/>
                <w:color w:val="auto"/>
              </w:rPr>
            </w:pPr>
          </w:p>
        </w:tc>
        <w:tc>
          <w:tcPr>
            <w:tcW w:w="5040" w:type="dxa"/>
            <w:vAlign w:val="bottom"/>
            <w:tcBorders>
              <w:bottom w:val="single" w:sz="8" w:color="D9BA05"/>
            </w:tcBorders>
            <w:shd w:val="clear" w:color="auto" w:fill="E6E6E6"/>
          </w:tcPr>
          <w:p>
            <w:pPr>
              <w:spacing w:after="0"/>
              <w:rPr>
                <w:sz w:val="5"/>
                <w:szCs w:val="5"/>
                <w:color w:val="auto"/>
              </w:rPr>
            </w:pPr>
          </w:p>
        </w:tc>
        <w:tc>
          <w:tcPr>
            <w:tcW w:w="2360" w:type="dxa"/>
            <w:vAlign w:val="bottom"/>
            <w:tcBorders>
              <w:bottom w:val="single" w:sz="8" w:color="D9BA05"/>
            </w:tcBorders>
            <w:shd w:val="clear" w:color="auto" w:fill="E6E6E6"/>
          </w:tcPr>
          <w:p>
            <w:pPr>
              <w:spacing w:after="0"/>
              <w:rPr>
                <w:sz w:val="5"/>
                <w:szCs w:val="5"/>
                <w:color w:val="auto"/>
              </w:rPr>
            </w:pPr>
          </w:p>
        </w:tc>
        <w:tc>
          <w:tcPr>
            <w:tcW w:w="1560" w:type="dxa"/>
            <w:vAlign w:val="bottom"/>
            <w:tcBorders>
              <w:bottom w:val="single" w:sz="8" w:color="D9BA05"/>
            </w:tcBorders>
            <w:shd w:val="clear" w:color="auto" w:fill="E6E6E6"/>
          </w:tcPr>
          <w:p>
            <w:pPr>
              <w:spacing w:after="0"/>
              <w:rPr>
                <w:sz w:val="5"/>
                <w:szCs w:val="5"/>
                <w:color w:val="auto"/>
              </w:rPr>
            </w:pPr>
          </w:p>
        </w:tc>
        <w:tc>
          <w:tcPr>
            <w:tcW w:w="0" w:type="dxa"/>
            <w:vAlign w:val="bottom"/>
          </w:tcPr>
          <w:p>
            <w:pPr>
              <w:spacing w:after="0"/>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Option Exercises and Stock Vested During Fiscal 2026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3060" w:type="dxa"/>
            <w:vAlign w:val="bottom"/>
            <w:gridSpan w:val="3"/>
          </w:tcPr>
          <w:p>
            <w:pPr>
              <w:ind w:left="660"/>
              <w:spacing w:after="0"/>
              <w:rPr>
                <w:sz w:val="20"/>
                <w:szCs w:val="20"/>
                <w:color w:val="auto"/>
              </w:rPr>
            </w:pPr>
            <w:r>
              <w:rPr>
                <w:rFonts w:ascii="Arial" w:cs="Arial" w:eastAsia="Arial" w:hAnsi="Arial"/>
                <w:sz w:val="13"/>
                <w:szCs w:val="13"/>
                <w:b w:val="1"/>
                <w:bCs w:val="1"/>
                <w:color w:val="auto"/>
              </w:rPr>
              <w:t>OPTION AWARDS</w:t>
            </w:r>
          </w:p>
        </w:tc>
        <w:tc>
          <w:tcPr>
            <w:tcW w:w="2160" w:type="dxa"/>
            <w:vAlign w:val="bottom"/>
          </w:tcPr>
          <w:p>
            <w:pPr>
              <w:jc w:val="right"/>
              <w:spacing w:after="0"/>
              <w:rPr>
                <w:sz w:val="20"/>
                <w:szCs w:val="20"/>
                <w:color w:val="auto"/>
              </w:rPr>
            </w:pPr>
            <w:r>
              <w:rPr>
                <w:rFonts w:ascii="Arial" w:cs="Arial" w:eastAsia="Arial" w:hAnsi="Arial"/>
                <w:sz w:val="13"/>
                <w:szCs w:val="13"/>
                <w:b w:val="1"/>
                <w:bCs w:val="1"/>
                <w:color w:val="auto"/>
              </w:rPr>
              <w:t>STOCK AWARDS</w:t>
            </w: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2840" w:type="dxa"/>
            <w:vAlign w:val="bottom"/>
          </w:tcPr>
          <w:p>
            <w:pPr>
              <w:spacing w:after="0"/>
              <w:rPr>
                <w:sz w:val="5"/>
                <w:szCs w:val="5"/>
                <w:color w:val="auto"/>
              </w:rPr>
            </w:pPr>
          </w:p>
        </w:tc>
        <w:tc>
          <w:tcPr>
            <w:tcW w:w="1280" w:type="dxa"/>
            <w:vAlign w:val="bottom"/>
            <w:tcBorders>
              <w:bottom w:val="single" w:sz="8" w:color="D9BA05"/>
            </w:tcBorders>
          </w:tcPr>
          <w:p>
            <w:pPr>
              <w:spacing w:after="0"/>
              <w:rPr>
                <w:sz w:val="5"/>
                <w:szCs w:val="5"/>
                <w:color w:val="auto"/>
              </w:rPr>
            </w:pPr>
          </w:p>
        </w:tc>
        <w:tc>
          <w:tcPr>
            <w:tcW w:w="1100" w:type="dxa"/>
            <w:vAlign w:val="bottom"/>
            <w:tcBorders>
              <w:bottom w:val="single" w:sz="8" w:color="D9BA05"/>
            </w:tcBorders>
          </w:tcPr>
          <w:p>
            <w:pPr>
              <w:spacing w:after="0"/>
              <w:rPr>
                <w:sz w:val="5"/>
                <w:szCs w:val="5"/>
                <w:color w:val="auto"/>
              </w:rPr>
            </w:pPr>
          </w:p>
        </w:tc>
        <w:tc>
          <w:tcPr>
            <w:tcW w:w="680" w:type="dxa"/>
            <w:vAlign w:val="bottom"/>
          </w:tcPr>
          <w:p>
            <w:pPr>
              <w:spacing w:after="0"/>
              <w:rPr>
                <w:sz w:val="5"/>
                <w:szCs w:val="5"/>
                <w:color w:val="auto"/>
              </w:rPr>
            </w:pPr>
          </w:p>
        </w:tc>
        <w:tc>
          <w:tcPr>
            <w:tcW w:w="2160" w:type="dxa"/>
            <w:vAlign w:val="bottom"/>
            <w:tcBorders>
              <w:bottom w:val="single" w:sz="8" w:color="D9BA05"/>
            </w:tcBorders>
          </w:tcPr>
          <w:p>
            <w:pPr>
              <w:spacing w:after="0"/>
              <w:rPr>
                <w:sz w:val="5"/>
                <w:szCs w:val="5"/>
                <w:color w:val="auto"/>
              </w:rPr>
            </w:pPr>
          </w:p>
        </w:tc>
        <w:tc>
          <w:tcPr>
            <w:tcW w:w="1100" w:type="dxa"/>
            <w:vAlign w:val="bottom"/>
            <w:tcBorders>
              <w:bottom w:val="single" w:sz="8" w:color="D9BA05"/>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2840" w:type="dxa"/>
            <w:vAlign w:val="bottom"/>
          </w:tcPr>
          <w:p>
            <w:pPr>
              <w:ind w:left="40"/>
              <w:spacing w:after="0"/>
              <w:rPr>
                <w:sz w:val="20"/>
                <w:szCs w:val="20"/>
                <w:color w:val="auto"/>
              </w:rPr>
            </w:pPr>
            <w:r>
              <w:rPr>
                <w:rFonts w:ascii="Arial" w:cs="Arial" w:eastAsia="Arial" w:hAnsi="Arial"/>
                <w:sz w:val="13"/>
                <w:szCs w:val="13"/>
                <w:b w:val="1"/>
                <w:bCs w:val="1"/>
                <w:color w:val="auto"/>
              </w:rPr>
              <w:t>(A)</w:t>
            </w:r>
          </w:p>
        </w:tc>
        <w:tc>
          <w:tcPr>
            <w:tcW w:w="1280" w:type="dxa"/>
            <w:vAlign w:val="bottom"/>
          </w:tcPr>
          <w:p>
            <w:pPr>
              <w:jc w:val="right"/>
              <w:ind w:right="354"/>
              <w:spacing w:after="0"/>
              <w:rPr>
                <w:sz w:val="20"/>
                <w:szCs w:val="20"/>
                <w:color w:val="auto"/>
              </w:rPr>
            </w:pPr>
            <w:r>
              <w:rPr>
                <w:rFonts w:ascii="Arial" w:cs="Arial" w:eastAsia="Arial" w:hAnsi="Arial"/>
                <w:sz w:val="13"/>
                <w:szCs w:val="13"/>
                <w:b w:val="1"/>
                <w:bCs w:val="1"/>
                <w:color w:val="auto"/>
              </w:rPr>
              <w:t>(B)</w:t>
            </w:r>
          </w:p>
        </w:tc>
        <w:tc>
          <w:tcPr>
            <w:tcW w:w="178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(C)</w:t>
            </w:r>
          </w:p>
        </w:tc>
        <w:tc>
          <w:tcPr>
            <w:tcW w:w="2160" w:type="dxa"/>
            <w:vAlign w:val="bottom"/>
          </w:tcPr>
          <w:p>
            <w:pPr>
              <w:jc w:val="right"/>
              <w:ind w:right="613"/>
              <w:spacing w:after="0"/>
              <w:rPr>
                <w:sz w:val="20"/>
                <w:szCs w:val="20"/>
                <w:color w:val="auto"/>
              </w:rPr>
            </w:pPr>
            <w:r>
              <w:rPr>
                <w:rFonts w:ascii="Arial" w:cs="Arial" w:eastAsia="Arial" w:hAnsi="Arial"/>
                <w:sz w:val="13"/>
                <w:szCs w:val="13"/>
                <w:b w:val="1"/>
                <w:bCs w:val="1"/>
                <w:color w:val="auto"/>
              </w:rPr>
              <w:t>(D)</w:t>
            </w:r>
          </w:p>
        </w:tc>
        <w:tc>
          <w:tcPr>
            <w:tcW w:w="12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(E)</w:t>
            </w:r>
          </w:p>
        </w:tc>
        <w:tc>
          <w:tcPr>
            <w:tcW w:w="0" w:type="dxa"/>
            <w:vAlign w:val="bottom"/>
          </w:tcPr>
          <w:p>
            <w:pPr>
              <w:spacing w:after="0"/>
              <w:rPr>
                <w:sz w:val="1"/>
                <w:szCs w:val="1"/>
                <w:color w:val="auto"/>
              </w:rPr>
            </w:pPr>
          </w:p>
        </w:tc>
      </w:tr>
      <w:tr>
        <w:trPr>
          <w:trHeight w:val="62"/>
        </w:trPr>
        <w:tc>
          <w:tcPr>
            <w:tcW w:w="120" w:type="dxa"/>
            <w:vAlign w:val="bottom"/>
            <w:tcBorders>
              <w:bottom w:val="single" w:sz="8" w:color="D9BA05"/>
            </w:tcBorders>
          </w:tcPr>
          <w:p>
            <w:pPr>
              <w:spacing w:after="0"/>
              <w:rPr>
                <w:sz w:val="5"/>
                <w:szCs w:val="5"/>
                <w:color w:val="auto"/>
              </w:rPr>
            </w:pPr>
          </w:p>
        </w:tc>
        <w:tc>
          <w:tcPr>
            <w:tcW w:w="2840" w:type="dxa"/>
            <w:vAlign w:val="bottom"/>
            <w:tcBorders>
              <w:bottom w:val="single" w:sz="8" w:color="D9BA05"/>
            </w:tcBorders>
          </w:tcPr>
          <w:p>
            <w:pPr>
              <w:spacing w:after="0"/>
              <w:rPr>
                <w:sz w:val="5"/>
                <w:szCs w:val="5"/>
                <w:color w:val="auto"/>
              </w:rPr>
            </w:pPr>
          </w:p>
        </w:tc>
        <w:tc>
          <w:tcPr>
            <w:tcW w:w="1280" w:type="dxa"/>
            <w:vAlign w:val="bottom"/>
            <w:tcBorders>
              <w:bottom w:val="single" w:sz="8" w:color="D9BA05"/>
            </w:tcBorders>
          </w:tcPr>
          <w:p>
            <w:pPr>
              <w:spacing w:after="0"/>
              <w:rPr>
                <w:sz w:val="5"/>
                <w:szCs w:val="5"/>
                <w:color w:val="auto"/>
              </w:rPr>
            </w:pPr>
          </w:p>
        </w:tc>
        <w:tc>
          <w:tcPr>
            <w:tcW w:w="1100" w:type="dxa"/>
            <w:vAlign w:val="bottom"/>
            <w:tcBorders>
              <w:bottom w:val="single" w:sz="8" w:color="D9BA05"/>
            </w:tcBorders>
          </w:tcPr>
          <w:p>
            <w:pPr>
              <w:spacing w:after="0"/>
              <w:rPr>
                <w:sz w:val="5"/>
                <w:szCs w:val="5"/>
                <w:color w:val="auto"/>
              </w:rPr>
            </w:pPr>
          </w:p>
        </w:tc>
        <w:tc>
          <w:tcPr>
            <w:tcW w:w="680" w:type="dxa"/>
            <w:vAlign w:val="bottom"/>
            <w:tcBorders>
              <w:bottom w:val="single" w:sz="8" w:color="D9BA05"/>
            </w:tcBorders>
          </w:tcPr>
          <w:p>
            <w:pPr>
              <w:spacing w:after="0"/>
              <w:rPr>
                <w:sz w:val="5"/>
                <w:szCs w:val="5"/>
                <w:color w:val="auto"/>
              </w:rPr>
            </w:pPr>
          </w:p>
        </w:tc>
        <w:tc>
          <w:tcPr>
            <w:tcW w:w="2160" w:type="dxa"/>
            <w:vAlign w:val="bottom"/>
            <w:tcBorders>
              <w:bottom w:val="single" w:sz="8" w:color="D9BA05"/>
            </w:tcBorders>
          </w:tcPr>
          <w:p>
            <w:pPr>
              <w:spacing w:after="0"/>
              <w:rPr>
                <w:sz w:val="5"/>
                <w:szCs w:val="5"/>
                <w:color w:val="auto"/>
              </w:rPr>
            </w:pPr>
          </w:p>
        </w:tc>
        <w:tc>
          <w:tcPr>
            <w:tcW w:w="1100" w:type="dxa"/>
            <w:vAlign w:val="bottom"/>
            <w:tcBorders>
              <w:bottom w:val="single" w:sz="8" w:color="D9BA05"/>
            </w:tcBorders>
          </w:tcPr>
          <w:p>
            <w:pPr>
              <w:spacing w:after="0"/>
              <w:rPr>
                <w:sz w:val="5"/>
                <w:szCs w:val="5"/>
                <w:color w:val="auto"/>
              </w:rPr>
            </w:pPr>
          </w:p>
        </w:tc>
        <w:tc>
          <w:tcPr>
            <w:tcW w:w="120" w:type="dxa"/>
            <w:vAlign w:val="bottom"/>
            <w:tcBorders>
              <w:bottom w:val="single" w:sz="8" w:color="D9BA05"/>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1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280" w:type="dxa"/>
            <w:vAlign w:val="bottom"/>
          </w:tcPr>
          <w:p>
            <w:pPr>
              <w:jc w:val="right"/>
              <w:ind w:right="394"/>
              <w:spacing w:after="0"/>
              <w:rPr>
                <w:sz w:val="20"/>
                <w:szCs w:val="20"/>
                <w:color w:val="auto"/>
              </w:rPr>
            </w:pPr>
            <w:r>
              <w:rPr>
                <w:rFonts w:ascii="Arial" w:cs="Arial" w:eastAsia="Arial" w:hAnsi="Arial"/>
                <w:sz w:val="13"/>
                <w:szCs w:val="13"/>
                <w:b w:val="1"/>
                <w:bCs w:val="1"/>
                <w:color w:val="auto"/>
              </w:rPr>
              <w:t>NUMBER OF</w:t>
            </w:r>
          </w:p>
        </w:tc>
        <w:tc>
          <w:tcPr>
            <w:tcW w:w="1780" w:type="dxa"/>
            <w:vAlign w:val="bottom"/>
            <w:gridSpan w:val="2"/>
            <w:vMerge w:val="restart"/>
          </w:tcPr>
          <w:p>
            <w:pPr>
              <w:jc w:val="right"/>
              <w:ind w:right="720"/>
              <w:spacing w:after="0"/>
              <w:rPr>
                <w:sz w:val="20"/>
                <w:szCs w:val="20"/>
                <w:color w:val="auto"/>
              </w:rPr>
            </w:pPr>
            <w:r>
              <w:rPr>
                <w:rFonts w:ascii="Arial" w:cs="Arial" w:eastAsia="Arial" w:hAnsi="Arial"/>
                <w:sz w:val="13"/>
                <w:szCs w:val="13"/>
                <w:b w:val="1"/>
                <w:bCs w:val="1"/>
                <w:color w:val="auto"/>
              </w:rPr>
              <w:t>VALUE</w:t>
            </w:r>
          </w:p>
        </w:tc>
        <w:tc>
          <w:tcPr>
            <w:tcW w:w="2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12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280" w:type="dxa"/>
            <w:vAlign w:val="bottom"/>
          </w:tcPr>
          <w:p>
            <w:pPr>
              <w:jc w:val="right"/>
              <w:ind w:right="394"/>
              <w:spacing w:after="0" w:line="126" w:lineRule="exact"/>
              <w:rPr>
                <w:sz w:val="20"/>
                <w:szCs w:val="20"/>
                <w:color w:val="auto"/>
              </w:rPr>
            </w:pPr>
            <w:r>
              <w:rPr>
                <w:rFonts w:ascii="Arial" w:cs="Arial" w:eastAsia="Arial" w:hAnsi="Arial"/>
                <w:sz w:val="13"/>
                <w:szCs w:val="13"/>
                <w:b w:val="1"/>
                <w:bCs w:val="1"/>
                <w:color w:val="auto"/>
              </w:rPr>
              <w:t>SHARES</w:t>
            </w:r>
          </w:p>
        </w:tc>
        <w:tc>
          <w:tcPr>
            <w:tcW w:w="1780" w:type="dxa"/>
            <w:vAlign w:val="bottom"/>
            <w:gridSpan w:val="2"/>
            <w:vMerge w:val="continue"/>
          </w:tcPr>
          <w:p>
            <w:pPr>
              <w:spacing w:after="0"/>
              <w:rPr>
                <w:sz w:val="10"/>
                <w:szCs w:val="10"/>
                <w:color w:val="auto"/>
              </w:rPr>
            </w:pPr>
          </w:p>
        </w:tc>
        <w:tc>
          <w:tcPr>
            <w:tcW w:w="21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280" w:type="dxa"/>
            <w:vAlign w:val="bottom"/>
          </w:tcPr>
          <w:p>
            <w:pPr>
              <w:jc w:val="right"/>
              <w:ind w:right="394"/>
              <w:spacing w:after="0" w:line="135" w:lineRule="exact"/>
              <w:rPr>
                <w:sz w:val="20"/>
                <w:szCs w:val="20"/>
                <w:color w:val="auto"/>
              </w:rPr>
            </w:pPr>
            <w:r>
              <w:rPr>
                <w:rFonts w:ascii="Arial" w:cs="Arial" w:eastAsia="Arial" w:hAnsi="Arial"/>
                <w:sz w:val="13"/>
                <w:szCs w:val="13"/>
                <w:b w:val="1"/>
                <w:bCs w:val="1"/>
                <w:color w:val="auto"/>
              </w:rPr>
              <w:t>ACQUIRED</w:t>
            </w:r>
          </w:p>
        </w:tc>
        <w:tc>
          <w:tcPr>
            <w:tcW w:w="1780" w:type="dxa"/>
            <w:vAlign w:val="bottom"/>
            <w:gridSpan w:val="2"/>
          </w:tcPr>
          <w:p>
            <w:pPr>
              <w:jc w:val="right"/>
              <w:ind w:right="720"/>
              <w:spacing w:after="0" w:line="135" w:lineRule="exact"/>
              <w:rPr>
                <w:sz w:val="20"/>
                <w:szCs w:val="20"/>
                <w:color w:val="auto"/>
              </w:rPr>
            </w:pPr>
            <w:r>
              <w:rPr>
                <w:rFonts w:ascii="Arial" w:cs="Arial" w:eastAsia="Arial" w:hAnsi="Arial"/>
                <w:sz w:val="13"/>
                <w:szCs w:val="13"/>
                <w:b w:val="1"/>
                <w:bCs w:val="1"/>
                <w:color w:val="auto"/>
              </w:rPr>
              <w:t>REALIZED</w:t>
            </w:r>
          </w:p>
        </w:tc>
        <w:tc>
          <w:tcPr>
            <w:tcW w:w="2160" w:type="dxa"/>
            <w:vAlign w:val="bottom"/>
            <w:vMerge w:val="restart"/>
          </w:tcPr>
          <w:p>
            <w:pPr>
              <w:jc w:val="right"/>
              <w:ind w:right="653"/>
              <w:spacing w:after="0"/>
              <w:rPr>
                <w:sz w:val="20"/>
                <w:szCs w:val="20"/>
                <w:color w:val="auto"/>
              </w:rPr>
            </w:pPr>
            <w:r>
              <w:rPr>
                <w:rFonts w:ascii="Arial" w:cs="Arial" w:eastAsia="Arial" w:hAnsi="Arial"/>
                <w:sz w:val="13"/>
                <w:szCs w:val="13"/>
                <w:b w:val="1"/>
                <w:bCs w:val="1"/>
                <w:color w:val="auto"/>
              </w:rPr>
              <w:t>NUMBER OF SHARES</w:t>
            </w:r>
          </w:p>
        </w:tc>
        <w:tc>
          <w:tcPr>
            <w:tcW w:w="122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auto"/>
                <w:w w:val="95"/>
              </w:rPr>
              <w:t>VALUE REALIZED</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280" w:type="dxa"/>
            <w:vAlign w:val="bottom"/>
          </w:tcPr>
          <w:p>
            <w:pPr>
              <w:jc w:val="right"/>
              <w:ind w:right="354"/>
              <w:spacing w:after="0" w:line="135" w:lineRule="exact"/>
              <w:rPr>
                <w:sz w:val="20"/>
                <w:szCs w:val="20"/>
                <w:color w:val="auto"/>
              </w:rPr>
            </w:pPr>
            <w:r>
              <w:rPr>
                <w:rFonts w:ascii="Arial" w:cs="Arial" w:eastAsia="Arial" w:hAnsi="Arial"/>
                <w:sz w:val="13"/>
                <w:szCs w:val="13"/>
                <w:b w:val="1"/>
                <w:bCs w:val="1"/>
                <w:color w:val="auto"/>
              </w:rPr>
              <w:t>ON</w:t>
            </w:r>
          </w:p>
        </w:tc>
        <w:tc>
          <w:tcPr>
            <w:tcW w:w="1780" w:type="dxa"/>
            <w:vAlign w:val="bottom"/>
            <w:gridSpan w:val="2"/>
          </w:tcPr>
          <w:p>
            <w:pPr>
              <w:jc w:val="right"/>
              <w:ind w:right="680"/>
              <w:spacing w:after="0" w:line="135" w:lineRule="exact"/>
              <w:rPr>
                <w:sz w:val="20"/>
                <w:szCs w:val="20"/>
                <w:color w:val="auto"/>
              </w:rPr>
            </w:pPr>
            <w:r>
              <w:rPr>
                <w:rFonts w:ascii="Arial" w:cs="Arial" w:eastAsia="Arial" w:hAnsi="Arial"/>
                <w:sz w:val="13"/>
                <w:szCs w:val="13"/>
                <w:b w:val="1"/>
                <w:bCs w:val="1"/>
                <w:color w:val="auto"/>
              </w:rPr>
              <w:t>ON</w:t>
            </w:r>
          </w:p>
        </w:tc>
        <w:tc>
          <w:tcPr>
            <w:tcW w:w="216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8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NAME</w:t>
            </w:r>
          </w:p>
        </w:tc>
        <w:tc>
          <w:tcPr>
            <w:tcW w:w="1280" w:type="dxa"/>
            <w:vAlign w:val="bottom"/>
          </w:tcPr>
          <w:p>
            <w:pPr>
              <w:jc w:val="right"/>
              <w:ind w:right="394"/>
              <w:spacing w:after="0" w:line="135" w:lineRule="exact"/>
              <w:rPr>
                <w:sz w:val="20"/>
                <w:szCs w:val="20"/>
                <w:color w:val="auto"/>
              </w:rPr>
            </w:pPr>
            <w:r>
              <w:rPr>
                <w:rFonts w:ascii="Arial" w:cs="Arial" w:eastAsia="Arial" w:hAnsi="Arial"/>
                <w:sz w:val="13"/>
                <w:szCs w:val="13"/>
                <w:b w:val="1"/>
                <w:bCs w:val="1"/>
                <w:color w:val="auto"/>
              </w:rPr>
              <w:t>EXERCISE</w:t>
            </w:r>
          </w:p>
        </w:tc>
        <w:tc>
          <w:tcPr>
            <w:tcW w:w="1780" w:type="dxa"/>
            <w:vAlign w:val="bottom"/>
            <w:gridSpan w:val="2"/>
          </w:tcPr>
          <w:p>
            <w:pPr>
              <w:jc w:val="right"/>
              <w:ind w:right="720"/>
              <w:spacing w:after="0" w:line="135" w:lineRule="exact"/>
              <w:rPr>
                <w:sz w:val="20"/>
                <w:szCs w:val="20"/>
                <w:color w:val="auto"/>
              </w:rPr>
            </w:pPr>
            <w:r>
              <w:rPr>
                <w:rFonts w:ascii="Arial" w:cs="Arial" w:eastAsia="Arial" w:hAnsi="Arial"/>
                <w:sz w:val="13"/>
                <w:szCs w:val="13"/>
                <w:b w:val="1"/>
                <w:bCs w:val="1"/>
                <w:color w:val="auto"/>
              </w:rPr>
              <w:t>EXERCISE</w:t>
            </w:r>
          </w:p>
        </w:tc>
        <w:tc>
          <w:tcPr>
            <w:tcW w:w="2160" w:type="dxa"/>
            <w:vAlign w:val="bottom"/>
          </w:tcPr>
          <w:p>
            <w:pPr>
              <w:jc w:val="right"/>
              <w:ind w:right="613"/>
              <w:spacing w:after="0" w:line="135" w:lineRule="exact"/>
              <w:rPr>
                <w:sz w:val="20"/>
                <w:szCs w:val="20"/>
                <w:color w:val="auto"/>
              </w:rPr>
            </w:pPr>
            <w:r>
              <w:rPr>
                <w:rFonts w:ascii="Arial" w:cs="Arial" w:eastAsia="Arial" w:hAnsi="Arial"/>
                <w:sz w:val="13"/>
                <w:szCs w:val="13"/>
                <w:b w:val="1"/>
                <w:bCs w:val="1"/>
                <w:color w:val="auto"/>
                <w:w w:val="95"/>
              </w:rPr>
              <w:t>ACQUIRED ON VESTING</w:t>
            </w:r>
          </w:p>
        </w:tc>
        <w:tc>
          <w:tcPr>
            <w:tcW w:w="1220" w:type="dxa"/>
            <w:vAlign w:val="bottom"/>
            <w:gridSpan w:val="2"/>
          </w:tcPr>
          <w:p>
            <w:pPr>
              <w:jc w:val="right"/>
              <w:ind w:right="160"/>
              <w:spacing w:after="0" w:line="135" w:lineRule="exact"/>
              <w:rPr>
                <w:sz w:val="20"/>
                <w:szCs w:val="20"/>
                <w:color w:val="auto"/>
              </w:rPr>
            </w:pPr>
            <w:r>
              <w:rPr>
                <w:rFonts w:ascii="Arial" w:cs="Arial" w:eastAsia="Arial" w:hAnsi="Arial"/>
                <w:sz w:val="13"/>
                <w:szCs w:val="13"/>
                <w:b w:val="1"/>
                <w:bCs w:val="1"/>
                <w:color w:val="auto"/>
              </w:rPr>
              <w:t>ON VESTING</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2840" w:type="dxa"/>
            <w:vAlign w:val="bottom"/>
            <w:vMerge w:val="continue"/>
          </w:tcPr>
          <w:p>
            <w:pPr>
              <w:spacing w:after="0"/>
              <w:rPr>
                <w:sz w:val="21"/>
                <w:szCs w:val="21"/>
                <w:color w:val="auto"/>
              </w:rPr>
            </w:pPr>
          </w:p>
        </w:tc>
        <w:tc>
          <w:tcPr>
            <w:tcW w:w="1280" w:type="dxa"/>
            <w:vAlign w:val="bottom"/>
          </w:tcPr>
          <w:p>
            <w:pPr>
              <w:jc w:val="right"/>
              <w:ind w:right="354"/>
              <w:spacing w:after="0"/>
              <w:rPr>
                <w:sz w:val="20"/>
                <w:szCs w:val="20"/>
                <w:color w:val="auto"/>
              </w:rPr>
            </w:pPr>
            <w:r>
              <w:rPr>
                <w:rFonts w:ascii="Arial" w:cs="Arial" w:eastAsia="Arial" w:hAnsi="Arial"/>
                <w:sz w:val="13"/>
                <w:szCs w:val="13"/>
                <w:b w:val="1"/>
                <w:bCs w:val="1"/>
                <w:color w:val="auto"/>
              </w:rPr>
              <w:t>(#)</w:t>
            </w:r>
          </w:p>
        </w:tc>
        <w:tc>
          <w:tcPr>
            <w:tcW w:w="1780" w:type="dxa"/>
            <w:vAlign w:val="bottom"/>
            <w:gridSpan w:val="2"/>
          </w:tcPr>
          <w:p>
            <w:pPr>
              <w:jc w:val="right"/>
              <w:ind w:right="68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2160" w:type="dxa"/>
            <w:vAlign w:val="bottom"/>
          </w:tcPr>
          <w:p>
            <w:pPr>
              <w:jc w:val="right"/>
              <w:ind w:right="613"/>
              <w:spacing w:after="0"/>
              <w:rPr>
                <w:sz w:val="20"/>
                <w:szCs w:val="20"/>
                <w:color w:val="auto"/>
              </w:rPr>
            </w:pPr>
            <w:r>
              <w:rPr>
                <w:rFonts w:ascii="Arial" w:cs="Arial" w:eastAsia="Arial" w:hAnsi="Arial"/>
                <w:sz w:val="13"/>
                <w:szCs w:val="13"/>
                <w:b w:val="1"/>
                <w:bCs w:val="1"/>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304"/>
        </w:trPr>
        <w:tc>
          <w:tcPr>
            <w:tcW w:w="120" w:type="dxa"/>
            <w:vAlign w:val="bottom"/>
            <w:tcBorders>
              <w:bottom w:val="single" w:sz="8" w:color="E6E6E6"/>
            </w:tcBorders>
            <w:shd w:val="clear" w:color="auto" w:fill="E6E6E6"/>
          </w:tcPr>
          <w:p>
            <w:pPr>
              <w:spacing w:after="0"/>
              <w:rPr>
                <w:sz w:val="24"/>
                <w:szCs w:val="24"/>
                <w:color w:val="auto"/>
              </w:rPr>
            </w:pPr>
          </w:p>
        </w:tc>
        <w:tc>
          <w:tcPr>
            <w:tcW w:w="28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4"/>
                <w:szCs w:val="14"/>
                <w:b w:val="1"/>
                <w:bCs w:val="1"/>
                <w:color w:val="auto"/>
              </w:rPr>
              <w:t>Efraim Grinberg</w:t>
            </w:r>
          </w:p>
        </w:tc>
        <w:tc>
          <w:tcPr>
            <w:tcW w:w="1280" w:type="dxa"/>
            <w:vAlign w:val="bottom"/>
            <w:tcBorders>
              <w:bottom w:val="single" w:sz="8" w:color="E6E6E6"/>
            </w:tcBorders>
            <w:shd w:val="clear" w:color="auto" w:fill="E6E6E6"/>
          </w:tcPr>
          <w:p>
            <w:pPr>
              <w:jc w:val="right"/>
              <w:ind w:right="354"/>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E6E6E6"/>
            </w:tcBorders>
            <w:gridSpan w:val="2"/>
            <w:shd w:val="clear" w:color="auto" w:fill="E6E6E6"/>
          </w:tcPr>
          <w:p>
            <w:pPr>
              <w:jc w:val="right"/>
              <w:ind w:right="680"/>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E6E6E6"/>
            </w:tcBorders>
            <w:shd w:val="clear" w:color="auto" w:fill="E6E6E6"/>
          </w:tcPr>
          <w:p>
            <w:pPr>
              <w:jc w:val="right"/>
              <w:ind w:right="613"/>
              <w:spacing w:after="0"/>
              <w:rPr>
                <w:sz w:val="20"/>
                <w:szCs w:val="20"/>
                <w:color w:val="auto"/>
              </w:rPr>
            </w:pPr>
            <w:r>
              <w:rPr>
                <w:rFonts w:ascii="Arial" w:cs="Arial" w:eastAsia="Arial" w:hAnsi="Arial"/>
                <w:sz w:val="14"/>
                <w:szCs w:val="14"/>
                <w:color w:val="auto"/>
              </w:rPr>
              <w:t>24,645</w:t>
            </w:r>
          </w:p>
        </w:tc>
        <w:tc>
          <w:tcPr>
            <w:tcW w:w="1220" w:type="dxa"/>
            <w:vAlign w:val="bottom"/>
            <w:tcBorders>
              <w:bottom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4"/>
                <w:szCs w:val="14"/>
                <w:color w:val="auto"/>
              </w:rPr>
              <w:t>424,633</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2840" w:type="dxa"/>
            <w:vAlign w:val="bottom"/>
          </w:tcPr>
          <w:p>
            <w:pPr>
              <w:ind w:left="40"/>
              <w:spacing w:after="0"/>
              <w:rPr>
                <w:sz w:val="20"/>
                <w:szCs w:val="20"/>
                <w:color w:val="auto"/>
              </w:rPr>
            </w:pPr>
            <w:r>
              <w:rPr>
                <w:rFonts w:ascii="Arial" w:cs="Arial" w:eastAsia="Arial" w:hAnsi="Arial"/>
                <w:sz w:val="14"/>
                <w:szCs w:val="14"/>
                <w:b w:val="1"/>
                <w:bCs w:val="1"/>
                <w:color w:val="auto"/>
              </w:rPr>
              <w:t>Sallie DeMarsilis</w:t>
            </w:r>
          </w:p>
        </w:tc>
        <w:tc>
          <w:tcPr>
            <w:tcW w:w="1280" w:type="dxa"/>
            <w:vAlign w:val="bottom"/>
          </w:tcPr>
          <w:p>
            <w:pPr>
              <w:jc w:val="right"/>
              <w:ind w:right="354"/>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613"/>
              <w:spacing w:after="0"/>
              <w:rPr>
                <w:sz w:val="20"/>
                <w:szCs w:val="20"/>
                <w:color w:val="auto"/>
              </w:rPr>
            </w:pPr>
            <w:r>
              <w:rPr>
                <w:rFonts w:ascii="Arial" w:cs="Arial" w:eastAsia="Arial" w:hAnsi="Arial"/>
                <w:sz w:val="14"/>
                <w:szCs w:val="14"/>
                <w:color w:val="auto"/>
              </w:rPr>
              <w:t>6,408</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110,410</w:t>
            </w: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780" w:type="dxa"/>
            <w:vAlign w:val="bottom"/>
            <w:gridSpan w:val="2"/>
          </w:tcPr>
          <w:p>
            <w:pPr>
              <w:spacing w:after="0"/>
              <w:rPr>
                <w:sz w:val="4"/>
                <w:szCs w:val="4"/>
                <w:color w:val="auto"/>
              </w:rPr>
            </w:pPr>
          </w:p>
        </w:tc>
        <w:tc>
          <w:tcPr>
            <w:tcW w:w="216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20" w:type="dxa"/>
            <w:vAlign w:val="bottom"/>
            <w:tcBorders>
              <w:bottom w:val="single" w:sz="8" w:color="E6E6E6"/>
            </w:tcBorders>
            <w:shd w:val="clear" w:color="auto" w:fill="E6E6E6"/>
          </w:tcPr>
          <w:p>
            <w:pPr>
              <w:spacing w:after="0"/>
              <w:rPr>
                <w:sz w:val="24"/>
                <w:szCs w:val="24"/>
                <w:color w:val="auto"/>
              </w:rPr>
            </w:pPr>
          </w:p>
        </w:tc>
        <w:tc>
          <w:tcPr>
            <w:tcW w:w="28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4"/>
                <w:szCs w:val="14"/>
                <w:b w:val="1"/>
                <w:bCs w:val="1"/>
                <w:color w:val="auto"/>
              </w:rPr>
              <w:t>Behzad Soltani</w:t>
            </w:r>
          </w:p>
        </w:tc>
        <w:tc>
          <w:tcPr>
            <w:tcW w:w="1280" w:type="dxa"/>
            <w:vAlign w:val="bottom"/>
            <w:tcBorders>
              <w:bottom w:val="single" w:sz="8" w:color="E6E6E6"/>
            </w:tcBorders>
            <w:shd w:val="clear" w:color="auto" w:fill="E6E6E6"/>
          </w:tcPr>
          <w:p>
            <w:pPr>
              <w:jc w:val="right"/>
              <w:ind w:right="354"/>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E6E6E6"/>
            </w:tcBorders>
            <w:gridSpan w:val="2"/>
            <w:shd w:val="clear" w:color="auto" w:fill="E6E6E6"/>
          </w:tcPr>
          <w:p>
            <w:pPr>
              <w:jc w:val="right"/>
              <w:ind w:right="680"/>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E6E6E6"/>
            </w:tcBorders>
            <w:shd w:val="clear" w:color="auto" w:fill="E6E6E6"/>
          </w:tcPr>
          <w:p>
            <w:pPr>
              <w:jc w:val="right"/>
              <w:ind w:right="613"/>
              <w:spacing w:after="0"/>
              <w:rPr>
                <w:sz w:val="20"/>
                <w:szCs w:val="20"/>
                <w:color w:val="auto"/>
              </w:rPr>
            </w:pPr>
            <w:r>
              <w:rPr>
                <w:rFonts w:ascii="Arial" w:cs="Arial" w:eastAsia="Arial" w:hAnsi="Arial"/>
                <w:sz w:val="14"/>
                <w:szCs w:val="14"/>
                <w:color w:val="auto"/>
              </w:rPr>
              <w:t>5,915</w:t>
            </w:r>
          </w:p>
        </w:tc>
        <w:tc>
          <w:tcPr>
            <w:tcW w:w="1220" w:type="dxa"/>
            <w:vAlign w:val="bottom"/>
            <w:tcBorders>
              <w:bottom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4"/>
                <w:szCs w:val="14"/>
                <w:color w:val="auto"/>
              </w:rPr>
              <w:t>101,915</w:t>
            </w:r>
          </w:p>
        </w:tc>
        <w:tc>
          <w:tcPr>
            <w:tcW w:w="0" w:type="dxa"/>
            <w:vAlign w:val="bottom"/>
          </w:tcPr>
          <w:p>
            <w:pPr>
              <w:spacing w:after="0"/>
              <w:rPr>
                <w:sz w:val="1"/>
                <w:szCs w:val="1"/>
                <w:color w:val="auto"/>
              </w:rPr>
            </w:pPr>
          </w:p>
        </w:tc>
      </w:tr>
      <w:tr>
        <w:trPr>
          <w:trHeight w:val="255"/>
        </w:trPr>
        <w:tc>
          <w:tcPr>
            <w:tcW w:w="120" w:type="dxa"/>
            <w:vAlign w:val="bottom"/>
          </w:tcPr>
          <w:p>
            <w:pPr>
              <w:spacing w:after="0"/>
              <w:rPr>
                <w:sz w:val="22"/>
                <w:szCs w:val="22"/>
                <w:color w:val="auto"/>
              </w:rPr>
            </w:pPr>
          </w:p>
        </w:tc>
        <w:tc>
          <w:tcPr>
            <w:tcW w:w="2840" w:type="dxa"/>
            <w:vAlign w:val="bottom"/>
          </w:tcPr>
          <w:p>
            <w:pPr>
              <w:ind w:left="40"/>
              <w:spacing w:after="0"/>
              <w:rPr>
                <w:sz w:val="20"/>
                <w:szCs w:val="20"/>
                <w:color w:val="auto"/>
              </w:rPr>
            </w:pPr>
            <w:r>
              <w:rPr>
                <w:rFonts w:ascii="Arial" w:cs="Arial" w:eastAsia="Arial" w:hAnsi="Arial"/>
                <w:sz w:val="14"/>
                <w:szCs w:val="14"/>
                <w:b w:val="1"/>
                <w:bCs w:val="1"/>
                <w:color w:val="auto"/>
              </w:rPr>
              <w:t>Mitchell Sussis</w:t>
            </w:r>
          </w:p>
        </w:tc>
        <w:tc>
          <w:tcPr>
            <w:tcW w:w="1280" w:type="dxa"/>
            <w:vAlign w:val="bottom"/>
          </w:tcPr>
          <w:p>
            <w:pPr>
              <w:jc w:val="right"/>
              <w:ind w:right="354"/>
              <w:spacing w:after="0"/>
              <w:rPr>
                <w:sz w:val="20"/>
                <w:szCs w:val="20"/>
                <w:color w:val="auto"/>
              </w:rPr>
            </w:pPr>
            <w:r>
              <w:rPr>
                <w:rFonts w:ascii="Arial" w:cs="Arial" w:eastAsia="Arial" w:hAnsi="Arial"/>
                <w:sz w:val="14"/>
                <w:szCs w:val="14"/>
                <w:color w:val="auto"/>
              </w:rPr>
              <w:t>—</w:t>
            </w:r>
          </w:p>
        </w:tc>
        <w:tc>
          <w:tcPr>
            <w:tcW w:w="1780" w:type="dxa"/>
            <w:vAlign w:val="bottom"/>
            <w:gridSpan w:val="2"/>
          </w:tcPr>
          <w:p>
            <w:pPr>
              <w:jc w:val="right"/>
              <w:ind w:right="680"/>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613"/>
              <w:spacing w:after="0"/>
              <w:rPr>
                <w:sz w:val="20"/>
                <w:szCs w:val="20"/>
                <w:color w:val="auto"/>
              </w:rPr>
            </w:pPr>
            <w:r>
              <w:rPr>
                <w:rFonts w:ascii="Arial" w:cs="Arial" w:eastAsia="Arial" w:hAnsi="Arial"/>
                <w:sz w:val="14"/>
                <w:szCs w:val="14"/>
                <w:color w:val="auto"/>
              </w:rPr>
              <w:t>2,208</w:t>
            </w: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38,044</w:t>
            </w: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28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780" w:type="dxa"/>
            <w:vAlign w:val="bottom"/>
            <w:gridSpan w:val="2"/>
          </w:tcPr>
          <w:p>
            <w:pPr>
              <w:spacing w:after="0"/>
              <w:rPr>
                <w:sz w:val="4"/>
                <w:szCs w:val="4"/>
                <w:color w:val="auto"/>
              </w:rPr>
            </w:pPr>
          </w:p>
        </w:tc>
        <w:tc>
          <w:tcPr>
            <w:tcW w:w="2160" w:type="dxa"/>
            <w:vAlign w:val="bottom"/>
          </w:tcPr>
          <w:p>
            <w:pPr>
              <w:spacing w:after="0"/>
              <w:rPr>
                <w:sz w:val="4"/>
                <w:szCs w:val="4"/>
                <w:color w:val="auto"/>
              </w:rPr>
            </w:pPr>
          </w:p>
        </w:tc>
        <w:tc>
          <w:tcPr>
            <w:tcW w:w="12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20" w:type="dxa"/>
            <w:vAlign w:val="bottom"/>
            <w:tcBorders>
              <w:bottom w:val="single" w:sz="8" w:color="E6E6E6"/>
            </w:tcBorders>
            <w:shd w:val="clear" w:color="auto" w:fill="E6E6E6"/>
          </w:tcPr>
          <w:p>
            <w:pPr>
              <w:spacing w:after="0"/>
              <w:rPr>
                <w:sz w:val="22"/>
                <w:szCs w:val="22"/>
                <w:color w:val="auto"/>
              </w:rPr>
            </w:pPr>
          </w:p>
        </w:tc>
        <w:tc>
          <w:tcPr>
            <w:tcW w:w="28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4"/>
                <w:szCs w:val="14"/>
                <w:b w:val="1"/>
                <w:bCs w:val="1"/>
                <w:color w:val="auto"/>
              </w:rPr>
              <w:t>Michelle Kennedy</w:t>
            </w:r>
          </w:p>
        </w:tc>
        <w:tc>
          <w:tcPr>
            <w:tcW w:w="1280" w:type="dxa"/>
            <w:vAlign w:val="bottom"/>
            <w:tcBorders>
              <w:bottom w:val="single" w:sz="8" w:color="E6E6E6"/>
            </w:tcBorders>
            <w:shd w:val="clear" w:color="auto" w:fill="E6E6E6"/>
          </w:tcPr>
          <w:p>
            <w:pPr>
              <w:jc w:val="right"/>
              <w:ind w:right="354"/>
              <w:spacing w:after="0"/>
              <w:rPr>
                <w:sz w:val="20"/>
                <w:szCs w:val="20"/>
                <w:color w:val="auto"/>
              </w:rPr>
            </w:pPr>
            <w:r>
              <w:rPr>
                <w:rFonts w:ascii="Arial" w:cs="Arial" w:eastAsia="Arial" w:hAnsi="Arial"/>
                <w:sz w:val="14"/>
                <w:szCs w:val="14"/>
                <w:color w:val="auto"/>
              </w:rPr>
              <w:t>—</w:t>
            </w:r>
          </w:p>
        </w:tc>
        <w:tc>
          <w:tcPr>
            <w:tcW w:w="1780" w:type="dxa"/>
            <w:vAlign w:val="bottom"/>
            <w:tcBorders>
              <w:bottom w:val="single" w:sz="8" w:color="E6E6E6"/>
            </w:tcBorders>
            <w:gridSpan w:val="2"/>
            <w:shd w:val="clear" w:color="auto" w:fill="E6E6E6"/>
          </w:tcPr>
          <w:p>
            <w:pPr>
              <w:jc w:val="right"/>
              <w:ind w:right="680"/>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E6E6E6"/>
            </w:tcBorders>
            <w:shd w:val="clear" w:color="auto" w:fill="E6E6E6"/>
          </w:tcPr>
          <w:p>
            <w:pPr>
              <w:jc w:val="right"/>
              <w:ind w:right="613"/>
              <w:spacing w:after="0"/>
              <w:rPr>
                <w:sz w:val="20"/>
                <w:szCs w:val="20"/>
                <w:color w:val="auto"/>
              </w:rPr>
            </w:pPr>
            <w:r>
              <w:rPr>
                <w:rFonts w:ascii="Arial" w:cs="Arial" w:eastAsia="Arial" w:hAnsi="Arial"/>
                <w:sz w:val="14"/>
                <w:szCs w:val="14"/>
                <w:color w:val="auto"/>
              </w:rPr>
              <w:t>2,039</w:t>
            </w:r>
          </w:p>
        </w:tc>
        <w:tc>
          <w:tcPr>
            <w:tcW w:w="1220" w:type="dxa"/>
            <w:vAlign w:val="bottom"/>
            <w:tcBorders>
              <w:bottom w:val="single" w:sz="8" w:color="E6E6E6"/>
            </w:tcBorders>
            <w:gridSpan w:val="2"/>
            <w:shd w:val="clear" w:color="auto" w:fill="E6E6E6"/>
          </w:tcPr>
          <w:p>
            <w:pPr>
              <w:jc w:val="right"/>
              <w:ind w:right="120"/>
              <w:spacing w:after="0"/>
              <w:rPr>
                <w:sz w:val="20"/>
                <w:szCs w:val="20"/>
                <w:color w:val="auto"/>
              </w:rPr>
            </w:pPr>
            <w:r>
              <w:rPr>
                <w:rFonts w:ascii="Arial" w:cs="Arial" w:eastAsia="Arial" w:hAnsi="Arial"/>
                <w:sz w:val="14"/>
                <w:szCs w:val="14"/>
                <w:color w:val="auto"/>
              </w:rPr>
              <w:t>36,457</w:t>
            </w:r>
          </w:p>
        </w:tc>
        <w:tc>
          <w:tcPr>
            <w:tcW w:w="0" w:type="dxa"/>
            <w:vAlign w:val="bottom"/>
          </w:tcPr>
          <w:p>
            <w:pPr>
              <w:spacing w:after="0"/>
              <w:rPr>
                <w:sz w:val="1"/>
                <w:szCs w:val="1"/>
                <w:color w:val="auto"/>
              </w:rPr>
            </w:pPr>
          </w:p>
        </w:tc>
      </w:tr>
      <w:tr>
        <w:trPr>
          <w:trHeight w:val="20"/>
        </w:trPr>
        <w:tc>
          <w:tcPr>
            <w:tcW w:w="120" w:type="dxa"/>
            <w:vAlign w:val="bottom"/>
            <w:shd w:val="clear" w:color="auto" w:fill="D9BA05"/>
          </w:tcPr>
          <w:p>
            <w:pPr>
              <w:spacing w:after="0" w:line="20" w:lineRule="exact"/>
              <w:rPr>
                <w:sz w:val="1"/>
                <w:szCs w:val="1"/>
                <w:color w:val="auto"/>
              </w:rPr>
            </w:pPr>
          </w:p>
        </w:tc>
        <w:tc>
          <w:tcPr>
            <w:tcW w:w="2840" w:type="dxa"/>
            <w:vAlign w:val="bottom"/>
            <w:shd w:val="clear" w:color="auto" w:fill="D9BA05"/>
          </w:tcPr>
          <w:p>
            <w:pPr>
              <w:spacing w:after="0" w:line="20" w:lineRule="exact"/>
              <w:rPr>
                <w:sz w:val="1"/>
                <w:szCs w:val="1"/>
                <w:color w:val="auto"/>
              </w:rPr>
            </w:pPr>
          </w:p>
        </w:tc>
        <w:tc>
          <w:tcPr>
            <w:tcW w:w="1280" w:type="dxa"/>
            <w:vAlign w:val="bottom"/>
            <w:shd w:val="clear" w:color="auto" w:fill="D9BA05"/>
          </w:tcPr>
          <w:p>
            <w:pPr>
              <w:spacing w:after="0" w:line="20" w:lineRule="exact"/>
              <w:rPr>
                <w:sz w:val="1"/>
                <w:szCs w:val="1"/>
                <w:color w:val="auto"/>
              </w:rPr>
            </w:pPr>
          </w:p>
        </w:tc>
        <w:tc>
          <w:tcPr>
            <w:tcW w:w="1100" w:type="dxa"/>
            <w:vAlign w:val="bottom"/>
            <w:shd w:val="clear" w:color="auto" w:fill="D9BA05"/>
          </w:tcPr>
          <w:p>
            <w:pPr>
              <w:spacing w:after="0" w:line="20" w:lineRule="exact"/>
              <w:rPr>
                <w:sz w:val="1"/>
                <w:szCs w:val="1"/>
                <w:color w:val="auto"/>
              </w:rPr>
            </w:pPr>
          </w:p>
        </w:tc>
        <w:tc>
          <w:tcPr>
            <w:tcW w:w="680" w:type="dxa"/>
            <w:vAlign w:val="bottom"/>
            <w:shd w:val="clear" w:color="auto" w:fill="D9BA05"/>
          </w:tcPr>
          <w:p>
            <w:pPr>
              <w:spacing w:after="0" w:line="20" w:lineRule="exact"/>
              <w:rPr>
                <w:sz w:val="1"/>
                <w:szCs w:val="1"/>
                <w:color w:val="auto"/>
              </w:rPr>
            </w:pPr>
          </w:p>
        </w:tc>
        <w:tc>
          <w:tcPr>
            <w:tcW w:w="2160" w:type="dxa"/>
            <w:vAlign w:val="bottom"/>
            <w:shd w:val="clear" w:color="auto" w:fill="D9BA05"/>
          </w:tcPr>
          <w:p>
            <w:pPr>
              <w:spacing w:after="0" w:line="20" w:lineRule="exact"/>
              <w:rPr>
                <w:sz w:val="1"/>
                <w:szCs w:val="1"/>
                <w:color w:val="auto"/>
              </w:rPr>
            </w:pPr>
          </w:p>
        </w:tc>
        <w:tc>
          <w:tcPr>
            <w:tcW w:w="1100" w:type="dxa"/>
            <w:vAlign w:val="bottom"/>
            <w:shd w:val="clear" w:color="auto" w:fill="D9BA05"/>
          </w:tcPr>
          <w:p>
            <w:pPr>
              <w:spacing w:after="0" w:line="20" w:lineRule="exact"/>
              <w:rPr>
                <w:sz w:val="1"/>
                <w:szCs w:val="1"/>
                <w:color w:val="auto"/>
              </w:rPr>
            </w:pPr>
          </w:p>
        </w:tc>
        <w:tc>
          <w:tcPr>
            <w:tcW w:w="120" w:type="dxa"/>
            <w:vAlign w:val="bottom"/>
            <w:shd w:val="clear" w:color="auto" w:fill="D9BA0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340" w:hanging="334"/>
        <w:spacing w:after="0"/>
        <w:tabs>
          <w:tab w:leader="none" w:pos="340" w:val="left"/>
        </w:tabs>
        <w:numPr>
          <w:ilvl w:val="0"/>
          <w:numId w:val="25"/>
        </w:numPr>
        <w:rPr>
          <w:rFonts w:ascii="Arial" w:cs="Arial" w:eastAsia="Arial" w:hAnsi="Arial"/>
          <w:sz w:val="13"/>
          <w:szCs w:val="13"/>
          <w:color w:val="333333"/>
        </w:rPr>
      </w:pPr>
      <w:r>
        <w:rPr>
          <w:rFonts w:ascii="Arial" w:cs="Arial" w:eastAsia="Arial" w:hAnsi="Arial"/>
          <w:sz w:val="13"/>
          <w:szCs w:val="13"/>
          <w:color w:val="333333"/>
        </w:rPr>
        <w:t>Value represents the excess of the market price of the shares on the date of exercise, over the exercise price of the option.</w:t>
      </w:r>
    </w:p>
    <w:p>
      <w:pPr>
        <w:spacing w:after="0" w:line="80" w:lineRule="exact"/>
        <w:rPr>
          <w:rFonts w:ascii="Arial" w:cs="Arial" w:eastAsia="Arial" w:hAnsi="Arial"/>
          <w:sz w:val="13"/>
          <w:szCs w:val="13"/>
          <w:color w:val="333333"/>
        </w:rPr>
      </w:pPr>
    </w:p>
    <w:p>
      <w:pPr>
        <w:ind w:left="340" w:hanging="334"/>
        <w:spacing w:after="0"/>
        <w:tabs>
          <w:tab w:leader="none" w:pos="340" w:val="left"/>
        </w:tabs>
        <w:numPr>
          <w:ilvl w:val="0"/>
          <w:numId w:val="25"/>
        </w:numPr>
        <w:rPr>
          <w:rFonts w:ascii="Arial" w:cs="Arial" w:eastAsia="Arial" w:hAnsi="Arial"/>
          <w:sz w:val="13"/>
          <w:szCs w:val="13"/>
          <w:color w:val="333333"/>
        </w:rPr>
      </w:pPr>
      <w:r>
        <w:rPr>
          <w:rFonts w:ascii="Arial" w:cs="Arial" w:eastAsia="Arial" w:hAnsi="Arial"/>
          <w:sz w:val="13"/>
          <w:szCs w:val="13"/>
          <w:color w:val="333333"/>
        </w:rPr>
        <w:t>Value represents the number of shares vesting multiplied by the market price of the shares on the vesting date.</w:t>
      </w:r>
    </w:p>
    <w:p>
      <w:pPr>
        <w:spacing w:after="0" w:line="344"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Nonqualified Deferred Compensation</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Under the Company’s DCP, participants may defer amounts from their base salary and cash bonus, if any, annually and the Company will credit to the account of each participant a matching contribution in an amount equal to the deferral, up to a maximum match of either 10% or 5% of the participant’s base salary (depending on whether the participant is included in Group I or Group II, as defined in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Movado Group, Inc.        32</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auto"/>
        </w:rPr>
        <w:t>DCP). During fiscal 2026, Messrs. E. Grinberg and Soltani and Ms. DeMarsilis were in Group I; and Mr. Sussis and Ms. Kennedy were in Group II. Deferral elections must be made no later than December 31 of the year before the year in which the salary or bonus will be deferred. Twenty percent of the Company’s matching contribution is made in the form of rights to the Company’s Common Stock, representing the number of shares (including fractional shares) of Common Stock that the matching contribution could purchase based upon the New York Stock Exchange’s closing price of the stock on the date when the matching contribution is made. Matching contributions are made on the last business day of each calendar quarter. The Company also has the right to make discretionary contributions to any participant’s account in such amount and in such manner as it shall determine.</w:t>
      </w:r>
    </w:p>
    <w:p>
      <w:pPr>
        <w:spacing w:after="0" w:line="181" w:lineRule="exact"/>
        <w:rPr>
          <w:sz w:val="20"/>
          <w:szCs w:val="20"/>
          <w:color w:val="auto"/>
        </w:rPr>
      </w:pPr>
    </w:p>
    <w:p>
      <w:pPr>
        <w:ind w:right="260"/>
        <w:spacing w:after="0" w:line="286" w:lineRule="auto"/>
        <w:rPr>
          <w:sz w:val="20"/>
          <w:szCs w:val="20"/>
          <w:color w:val="auto"/>
        </w:rPr>
      </w:pPr>
      <w:r>
        <w:rPr>
          <w:rFonts w:ascii="Arial" w:cs="Arial" w:eastAsia="Arial" w:hAnsi="Arial"/>
          <w:sz w:val="16"/>
          <w:szCs w:val="16"/>
          <w:color w:val="auto"/>
        </w:rPr>
        <w:t>The following table shows the deferrals made by the NEOs and the contributions made by the Company under the DCP in fiscal 2026.</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NONQUALIFIED DEFERRED COMPENSATION IN FISCAL 2026</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80" w:type="dxa"/>
            <w:vAlign w:val="bottom"/>
          </w:tcPr>
          <w:p>
            <w:pPr>
              <w:ind w:left="160"/>
              <w:spacing w:after="0"/>
              <w:rPr>
                <w:sz w:val="20"/>
                <w:szCs w:val="20"/>
                <w:color w:val="auto"/>
              </w:rPr>
            </w:pPr>
            <w:r>
              <w:rPr>
                <w:rFonts w:ascii="Arial" w:cs="Arial" w:eastAsia="Arial" w:hAnsi="Arial"/>
                <w:sz w:val="13"/>
                <w:szCs w:val="13"/>
                <w:b w:val="1"/>
                <w:bCs w:val="1"/>
                <w:color w:val="auto"/>
              </w:rPr>
              <w:t>(A)</w:t>
            </w:r>
          </w:p>
        </w:tc>
        <w:tc>
          <w:tcPr>
            <w:tcW w:w="2020" w:type="dxa"/>
            <w:vAlign w:val="bottom"/>
          </w:tcPr>
          <w:p>
            <w:pPr>
              <w:jc w:val="right"/>
              <w:ind w:right="114"/>
              <w:spacing w:after="0"/>
              <w:rPr>
                <w:sz w:val="20"/>
                <w:szCs w:val="20"/>
                <w:color w:val="auto"/>
              </w:rPr>
            </w:pPr>
            <w:r>
              <w:rPr>
                <w:rFonts w:ascii="Arial" w:cs="Arial" w:eastAsia="Arial" w:hAnsi="Arial"/>
                <w:sz w:val="13"/>
                <w:szCs w:val="13"/>
                <w:b w:val="1"/>
                <w:bCs w:val="1"/>
                <w:color w:val="auto"/>
              </w:rPr>
              <w:t>(B)</w:t>
            </w:r>
          </w:p>
        </w:tc>
        <w:tc>
          <w:tcPr>
            <w:tcW w:w="1620" w:type="dxa"/>
            <w:vAlign w:val="bottom"/>
          </w:tcPr>
          <w:p>
            <w:pPr>
              <w:jc w:val="right"/>
              <w:ind w:right="114"/>
              <w:spacing w:after="0"/>
              <w:rPr>
                <w:sz w:val="20"/>
                <w:szCs w:val="20"/>
                <w:color w:val="auto"/>
              </w:rPr>
            </w:pPr>
            <w:r>
              <w:rPr>
                <w:rFonts w:ascii="Arial" w:cs="Arial" w:eastAsia="Arial" w:hAnsi="Arial"/>
                <w:sz w:val="13"/>
                <w:szCs w:val="13"/>
                <w:b w:val="1"/>
                <w:bCs w:val="1"/>
                <w:color w:val="auto"/>
              </w:rPr>
              <w:t>(C)</w:t>
            </w:r>
          </w:p>
        </w:tc>
        <w:tc>
          <w:tcPr>
            <w:tcW w:w="1200" w:type="dxa"/>
            <w:vAlign w:val="bottom"/>
          </w:tcPr>
          <w:p>
            <w:pPr>
              <w:jc w:val="right"/>
              <w:ind w:right="114"/>
              <w:spacing w:after="0"/>
              <w:rPr>
                <w:sz w:val="20"/>
                <w:szCs w:val="20"/>
                <w:color w:val="auto"/>
              </w:rPr>
            </w:pPr>
            <w:r>
              <w:rPr>
                <w:rFonts w:ascii="Arial" w:cs="Arial" w:eastAsia="Arial" w:hAnsi="Arial"/>
                <w:sz w:val="13"/>
                <w:szCs w:val="13"/>
                <w:b w:val="1"/>
                <w:bCs w:val="1"/>
                <w:color w:val="auto"/>
              </w:rPr>
              <w:t>(D)</w:t>
            </w:r>
          </w:p>
        </w:tc>
        <w:tc>
          <w:tcPr>
            <w:tcW w:w="1360" w:type="dxa"/>
            <w:vAlign w:val="bottom"/>
          </w:tcPr>
          <w:p>
            <w:pPr>
              <w:jc w:val="right"/>
              <w:ind w:right="93"/>
              <w:spacing w:after="0"/>
              <w:rPr>
                <w:sz w:val="20"/>
                <w:szCs w:val="20"/>
                <w:color w:val="auto"/>
              </w:rPr>
            </w:pPr>
            <w:r>
              <w:rPr>
                <w:rFonts w:ascii="Arial" w:cs="Arial" w:eastAsia="Arial" w:hAnsi="Arial"/>
                <w:sz w:val="13"/>
                <w:szCs w:val="13"/>
                <w:b w:val="1"/>
                <w:bCs w:val="1"/>
                <w:color w:val="auto"/>
              </w:rPr>
              <w:t>(E)</w:t>
            </w:r>
          </w:p>
        </w:tc>
        <w:tc>
          <w:tcPr>
            <w:tcW w:w="1220" w:type="dxa"/>
            <w:vAlign w:val="bottom"/>
          </w:tcPr>
          <w:p>
            <w:pPr>
              <w:jc w:val="right"/>
              <w:ind w:right="34"/>
              <w:spacing w:after="0"/>
              <w:rPr>
                <w:sz w:val="20"/>
                <w:szCs w:val="20"/>
                <w:color w:val="auto"/>
              </w:rPr>
            </w:pPr>
            <w:r>
              <w:rPr>
                <w:rFonts w:ascii="Arial" w:cs="Arial" w:eastAsia="Arial" w:hAnsi="Arial"/>
                <w:sz w:val="13"/>
                <w:szCs w:val="13"/>
                <w:b w:val="1"/>
                <w:bCs w:val="1"/>
                <w:color w:val="auto"/>
              </w:rPr>
              <w:t>(F)</w:t>
            </w:r>
          </w:p>
        </w:tc>
      </w:tr>
      <w:tr>
        <w:trPr>
          <w:trHeight w:val="62"/>
        </w:trPr>
        <w:tc>
          <w:tcPr>
            <w:tcW w:w="1980" w:type="dxa"/>
            <w:vAlign w:val="bottom"/>
            <w:tcBorders>
              <w:bottom w:val="single" w:sz="8" w:color="D9BA05"/>
            </w:tcBorders>
          </w:tcPr>
          <w:p>
            <w:pPr>
              <w:spacing w:after="0"/>
              <w:rPr>
                <w:sz w:val="5"/>
                <w:szCs w:val="5"/>
                <w:color w:val="auto"/>
              </w:rPr>
            </w:pPr>
          </w:p>
        </w:tc>
        <w:tc>
          <w:tcPr>
            <w:tcW w:w="2020" w:type="dxa"/>
            <w:vAlign w:val="bottom"/>
            <w:tcBorders>
              <w:bottom w:val="single" w:sz="8" w:color="D9BA05"/>
            </w:tcBorders>
          </w:tcPr>
          <w:p>
            <w:pPr>
              <w:spacing w:after="0"/>
              <w:rPr>
                <w:sz w:val="5"/>
                <w:szCs w:val="5"/>
                <w:color w:val="auto"/>
              </w:rPr>
            </w:pPr>
          </w:p>
        </w:tc>
        <w:tc>
          <w:tcPr>
            <w:tcW w:w="1620" w:type="dxa"/>
            <w:vAlign w:val="bottom"/>
            <w:tcBorders>
              <w:bottom w:val="single" w:sz="8" w:color="D9BA05"/>
            </w:tcBorders>
          </w:tcPr>
          <w:p>
            <w:pPr>
              <w:spacing w:after="0"/>
              <w:rPr>
                <w:sz w:val="5"/>
                <w:szCs w:val="5"/>
                <w:color w:val="auto"/>
              </w:rPr>
            </w:pPr>
          </w:p>
        </w:tc>
        <w:tc>
          <w:tcPr>
            <w:tcW w:w="1200" w:type="dxa"/>
            <w:vAlign w:val="bottom"/>
            <w:tcBorders>
              <w:bottom w:val="single" w:sz="8" w:color="D9BA05"/>
            </w:tcBorders>
          </w:tcPr>
          <w:p>
            <w:pPr>
              <w:spacing w:after="0"/>
              <w:rPr>
                <w:sz w:val="5"/>
                <w:szCs w:val="5"/>
                <w:color w:val="auto"/>
              </w:rPr>
            </w:pPr>
          </w:p>
        </w:tc>
        <w:tc>
          <w:tcPr>
            <w:tcW w:w="1360" w:type="dxa"/>
            <w:vAlign w:val="bottom"/>
            <w:tcBorders>
              <w:bottom w:val="single" w:sz="8" w:color="D9BA05"/>
            </w:tcBorders>
          </w:tcPr>
          <w:p>
            <w:pPr>
              <w:spacing w:after="0"/>
              <w:rPr>
                <w:sz w:val="5"/>
                <w:szCs w:val="5"/>
                <w:color w:val="auto"/>
              </w:rPr>
            </w:pPr>
          </w:p>
        </w:tc>
        <w:tc>
          <w:tcPr>
            <w:tcW w:w="1220" w:type="dxa"/>
            <w:vAlign w:val="bottom"/>
            <w:tcBorders>
              <w:bottom w:val="single" w:sz="8" w:color="D9BA05"/>
            </w:tcBorders>
          </w:tcPr>
          <w:p>
            <w:pPr>
              <w:spacing w:after="0"/>
              <w:rPr>
                <w:sz w:val="5"/>
                <w:szCs w:val="5"/>
                <w:color w:val="auto"/>
              </w:rPr>
            </w:pPr>
          </w:p>
        </w:tc>
      </w:tr>
      <w:tr>
        <w:trPr>
          <w:trHeight w:val="209"/>
        </w:trPr>
        <w:tc>
          <w:tcPr>
            <w:tcW w:w="1980" w:type="dxa"/>
            <w:vAlign w:val="bottom"/>
          </w:tcPr>
          <w:p>
            <w:pPr>
              <w:spacing w:after="0"/>
              <w:rPr>
                <w:sz w:val="18"/>
                <w:szCs w:val="18"/>
                <w:color w:val="auto"/>
              </w:rPr>
            </w:pPr>
          </w:p>
        </w:tc>
        <w:tc>
          <w:tcPr>
            <w:tcW w:w="2020" w:type="dxa"/>
            <w:vAlign w:val="bottom"/>
          </w:tcPr>
          <w:p>
            <w:pPr>
              <w:jc w:val="right"/>
              <w:ind w:right="134"/>
              <w:spacing w:after="0"/>
              <w:rPr>
                <w:sz w:val="20"/>
                <w:szCs w:val="20"/>
                <w:color w:val="auto"/>
              </w:rPr>
            </w:pPr>
            <w:r>
              <w:rPr>
                <w:rFonts w:ascii="Arial" w:cs="Arial" w:eastAsia="Arial" w:hAnsi="Arial"/>
                <w:sz w:val="13"/>
                <w:szCs w:val="13"/>
                <w:b w:val="1"/>
                <w:bCs w:val="1"/>
                <w:color w:val="auto"/>
              </w:rPr>
              <w:t>EXECUTIVE</w:t>
            </w:r>
          </w:p>
        </w:tc>
        <w:tc>
          <w:tcPr>
            <w:tcW w:w="1620" w:type="dxa"/>
            <w:vAlign w:val="bottom"/>
          </w:tcPr>
          <w:p>
            <w:pPr>
              <w:jc w:val="right"/>
              <w:ind w:right="154"/>
              <w:spacing w:after="0"/>
              <w:rPr>
                <w:sz w:val="20"/>
                <w:szCs w:val="20"/>
                <w:color w:val="auto"/>
              </w:rPr>
            </w:pPr>
            <w:r>
              <w:rPr>
                <w:rFonts w:ascii="Arial" w:cs="Arial" w:eastAsia="Arial" w:hAnsi="Arial"/>
                <w:sz w:val="13"/>
                <w:szCs w:val="13"/>
                <w:b w:val="1"/>
                <w:bCs w:val="1"/>
                <w:color w:val="auto"/>
              </w:rPr>
              <w:t>REGISTRANT</w:t>
            </w:r>
          </w:p>
        </w:tc>
        <w:tc>
          <w:tcPr>
            <w:tcW w:w="1200" w:type="dxa"/>
            <w:vAlign w:val="bottom"/>
          </w:tcPr>
          <w:p>
            <w:pPr>
              <w:jc w:val="right"/>
              <w:ind w:right="154"/>
              <w:spacing w:after="0"/>
              <w:rPr>
                <w:sz w:val="20"/>
                <w:szCs w:val="20"/>
                <w:color w:val="auto"/>
              </w:rPr>
            </w:pPr>
            <w:r>
              <w:rPr>
                <w:rFonts w:ascii="Arial" w:cs="Arial" w:eastAsia="Arial" w:hAnsi="Arial"/>
                <w:sz w:val="13"/>
                <w:szCs w:val="13"/>
                <w:b w:val="1"/>
                <w:bCs w:val="1"/>
                <w:color w:val="auto"/>
              </w:rPr>
              <w:t>AGGREGATE</w:t>
            </w:r>
          </w:p>
        </w:tc>
        <w:tc>
          <w:tcPr>
            <w:tcW w:w="1360" w:type="dxa"/>
            <w:vAlign w:val="bottom"/>
          </w:tcPr>
          <w:p>
            <w:pPr>
              <w:jc w:val="right"/>
              <w:ind w:right="133"/>
              <w:spacing w:after="0"/>
              <w:rPr>
                <w:sz w:val="20"/>
                <w:szCs w:val="20"/>
                <w:color w:val="auto"/>
              </w:rPr>
            </w:pPr>
            <w:r>
              <w:rPr>
                <w:rFonts w:ascii="Arial" w:cs="Arial" w:eastAsia="Arial" w:hAnsi="Arial"/>
                <w:sz w:val="13"/>
                <w:szCs w:val="13"/>
                <w:b w:val="1"/>
                <w:bCs w:val="1"/>
                <w:color w:val="auto"/>
              </w:rPr>
              <w:t>AGGREGATE</w:t>
            </w:r>
          </w:p>
        </w:tc>
        <w:tc>
          <w:tcPr>
            <w:tcW w:w="1220" w:type="dxa"/>
            <w:vAlign w:val="bottom"/>
          </w:tcPr>
          <w:p>
            <w:pPr>
              <w:jc w:val="right"/>
              <w:ind w:right="74"/>
              <w:spacing w:after="0"/>
              <w:rPr>
                <w:sz w:val="20"/>
                <w:szCs w:val="20"/>
                <w:color w:val="auto"/>
              </w:rPr>
            </w:pPr>
            <w:r>
              <w:rPr>
                <w:rFonts w:ascii="Arial" w:cs="Arial" w:eastAsia="Arial" w:hAnsi="Arial"/>
                <w:sz w:val="13"/>
                <w:szCs w:val="13"/>
                <w:b w:val="1"/>
                <w:bCs w:val="1"/>
                <w:color w:val="auto"/>
              </w:rPr>
              <w:t>AGGREGATE</w:t>
            </w:r>
          </w:p>
        </w:tc>
      </w:tr>
      <w:tr>
        <w:trPr>
          <w:trHeight w:val="135"/>
        </w:trPr>
        <w:tc>
          <w:tcPr>
            <w:tcW w:w="1980" w:type="dxa"/>
            <w:vAlign w:val="bottom"/>
          </w:tcPr>
          <w:p>
            <w:pPr>
              <w:spacing w:after="0"/>
              <w:rPr>
                <w:sz w:val="11"/>
                <w:szCs w:val="11"/>
                <w:color w:val="auto"/>
              </w:rPr>
            </w:pPr>
          </w:p>
        </w:tc>
        <w:tc>
          <w:tcPr>
            <w:tcW w:w="2020" w:type="dxa"/>
            <w:vAlign w:val="bottom"/>
          </w:tcPr>
          <w:p>
            <w:pPr>
              <w:jc w:val="right"/>
              <w:ind w:right="134"/>
              <w:spacing w:after="0" w:line="135" w:lineRule="exact"/>
              <w:rPr>
                <w:sz w:val="20"/>
                <w:szCs w:val="20"/>
                <w:color w:val="auto"/>
              </w:rPr>
            </w:pPr>
            <w:r>
              <w:rPr>
                <w:rFonts w:ascii="Arial" w:cs="Arial" w:eastAsia="Arial" w:hAnsi="Arial"/>
                <w:sz w:val="13"/>
                <w:szCs w:val="13"/>
                <w:b w:val="1"/>
                <w:bCs w:val="1"/>
                <w:color w:val="auto"/>
              </w:rPr>
              <w:t>CONTRIBUTIONS IN</w:t>
            </w:r>
          </w:p>
        </w:tc>
        <w:tc>
          <w:tcPr>
            <w:tcW w:w="1620" w:type="dxa"/>
            <w:vAlign w:val="bottom"/>
          </w:tcPr>
          <w:p>
            <w:pPr>
              <w:jc w:val="right"/>
              <w:ind w:right="154"/>
              <w:spacing w:after="0" w:line="135" w:lineRule="exact"/>
              <w:rPr>
                <w:sz w:val="20"/>
                <w:szCs w:val="20"/>
                <w:color w:val="auto"/>
              </w:rPr>
            </w:pPr>
            <w:r>
              <w:rPr>
                <w:rFonts w:ascii="Arial" w:cs="Arial" w:eastAsia="Arial" w:hAnsi="Arial"/>
                <w:sz w:val="13"/>
                <w:szCs w:val="13"/>
                <w:b w:val="1"/>
                <w:bCs w:val="1"/>
                <w:color w:val="auto"/>
              </w:rPr>
              <w:t>CONTRIBUTIONS IN</w:t>
            </w:r>
          </w:p>
        </w:tc>
        <w:tc>
          <w:tcPr>
            <w:tcW w:w="1200" w:type="dxa"/>
            <w:vAlign w:val="bottom"/>
          </w:tcPr>
          <w:p>
            <w:pPr>
              <w:jc w:val="right"/>
              <w:ind w:right="154"/>
              <w:spacing w:after="0" w:line="135" w:lineRule="exact"/>
              <w:rPr>
                <w:sz w:val="20"/>
                <w:szCs w:val="20"/>
                <w:color w:val="auto"/>
              </w:rPr>
            </w:pPr>
            <w:r>
              <w:rPr>
                <w:rFonts w:ascii="Arial" w:cs="Arial" w:eastAsia="Arial" w:hAnsi="Arial"/>
                <w:sz w:val="13"/>
                <w:szCs w:val="13"/>
                <w:b w:val="1"/>
                <w:bCs w:val="1"/>
                <w:color w:val="auto"/>
              </w:rPr>
              <w:t>EARNINGS</w:t>
            </w:r>
          </w:p>
        </w:tc>
        <w:tc>
          <w:tcPr>
            <w:tcW w:w="1360" w:type="dxa"/>
            <w:vAlign w:val="bottom"/>
          </w:tcPr>
          <w:p>
            <w:pPr>
              <w:jc w:val="right"/>
              <w:ind w:right="133"/>
              <w:spacing w:after="0" w:line="135" w:lineRule="exact"/>
              <w:rPr>
                <w:sz w:val="20"/>
                <w:szCs w:val="20"/>
                <w:color w:val="auto"/>
              </w:rPr>
            </w:pPr>
            <w:r>
              <w:rPr>
                <w:rFonts w:ascii="Arial" w:cs="Arial" w:eastAsia="Arial" w:hAnsi="Arial"/>
                <w:sz w:val="13"/>
                <w:szCs w:val="13"/>
                <w:b w:val="1"/>
                <w:bCs w:val="1"/>
                <w:color w:val="auto"/>
              </w:rPr>
              <w:t>WITHDRAWALS/</w:t>
            </w:r>
          </w:p>
        </w:tc>
        <w:tc>
          <w:tcPr>
            <w:tcW w:w="1220" w:type="dxa"/>
            <w:vAlign w:val="bottom"/>
          </w:tcPr>
          <w:p>
            <w:pPr>
              <w:jc w:val="right"/>
              <w:ind w:right="74"/>
              <w:spacing w:after="0" w:line="135" w:lineRule="exact"/>
              <w:rPr>
                <w:sz w:val="20"/>
                <w:szCs w:val="20"/>
                <w:color w:val="auto"/>
              </w:rPr>
            </w:pPr>
            <w:r>
              <w:rPr>
                <w:rFonts w:ascii="Arial" w:cs="Arial" w:eastAsia="Arial" w:hAnsi="Arial"/>
                <w:sz w:val="13"/>
                <w:szCs w:val="13"/>
                <w:b w:val="1"/>
                <w:bCs w:val="1"/>
                <w:color w:val="auto"/>
              </w:rPr>
              <w:t>BALANCE</w:t>
            </w:r>
          </w:p>
        </w:tc>
      </w:tr>
      <w:tr>
        <w:trPr>
          <w:trHeight w:val="144"/>
        </w:trPr>
        <w:tc>
          <w:tcPr>
            <w:tcW w:w="1980" w:type="dxa"/>
            <w:vAlign w:val="bottom"/>
          </w:tcPr>
          <w:p>
            <w:pPr>
              <w:spacing w:after="0"/>
              <w:rPr>
                <w:sz w:val="12"/>
                <w:szCs w:val="12"/>
                <w:color w:val="auto"/>
              </w:rPr>
            </w:pPr>
          </w:p>
        </w:tc>
        <w:tc>
          <w:tcPr>
            <w:tcW w:w="2020" w:type="dxa"/>
            <w:vAlign w:val="bottom"/>
          </w:tcPr>
          <w:p>
            <w:pPr>
              <w:jc w:val="right"/>
              <w:ind w:right="114"/>
              <w:spacing w:after="0" w:line="144" w:lineRule="exact"/>
              <w:rPr>
                <w:sz w:val="20"/>
                <w:szCs w:val="20"/>
                <w:color w:val="auto"/>
              </w:rPr>
            </w:pPr>
            <w:r>
              <w:rPr>
                <w:rFonts w:ascii="Arial" w:cs="Arial" w:eastAsia="Arial" w:hAnsi="Arial"/>
                <w:sz w:val="10"/>
                <w:szCs w:val="10"/>
                <w:b w:val="1"/>
                <w:bCs w:val="1"/>
                <w:color w:val="auto"/>
              </w:rPr>
              <w:t>LAST FY</w:t>
            </w:r>
            <w:r>
              <w:rPr>
                <w:rFonts w:ascii="Arial" w:cs="Arial" w:eastAsia="Arial" w:hAnsi="Arial"/>
                <w:sz w:val="16"/>
                <w:szCs w:val="16"/>
                <w:b w:val="1"/>
                <w:bCs w:val="1"/>
                <w:color w:val="auto"/>
                <w:vertAlign w:val="superscript"/>
              </w:rPr>
              <w:t>(1)</w:t>
            </w:r>
          </w:p>
        </w:tc>
        <w:tc>
          <w:tcPr>
            <w:tcW w:w="1620" w:type="dxa"/>
            <w:vAlign w:val="bottom"/>
          </w:tcPr>
          <w:p>
            <w:pPr>
              <w:jc w:val="right"/>
              <w:ind w:right="114"/>
              <w:spacing w:after="0" w:line="144" w:lineRule="exact"/>
              <w:rPr>
                <w:sz w:val="20"/>
                <w:szCs w:val="20"/>
                <w:color w:val="auto"/>
              </w:rPr>
            </w:pPr>
            <w:r>
              <w:rPr>
                <w:rFonts w:ascii="Arial" w:cs="Arial" w:eastAsia="Arial" w:hAnsi="Arial"/>
                <w:sz w:val="10"/>
                <w:szCs w:val="10"/>
                <w:b w:val="1"/>
                <w:bCs w:val="1"/>
                <w:color w:val="auto"/>
              </w:rPr>
              <w:t>LAST FY</w:t>
            </w:r>
            <w:r>
              <w:rPr>
                <w:rFonts w:ascii="Arial" w:cs="Arial" w:eastAsia="Arial" w:hAnsi="Arial"/>
                <w:sz w:val="16"/>
                <w:szCs w:val="16"/>
                <w:b w:val="1"/>
                <w:bCs w:val="1"/>
                <w:color w:val="auto"/>
                <w:vertAlign w:val="superscript"/>
              </w:rPr>
              <w:t>(1)</w:t>
            </w:r>
          </w:p>
        </w:tc>
        <w:tc>
          <w:tcPr>
            <w:tcW w:w="1200" w:type="dxa"/>
            <w:vAlign w:val="bottom"/>
          </w:tcPr>
          <w:p>
            <w:pPr>
              <w:jc w:val="right"/>
              <w:ind w:right="114"/>
              <w:spacing w:after="0" w:line="144" w:lineRule="exact"/>
              <w:rPr>
                <w:sz w:val="20"/>
                <w:szCs w:val="20"/>
                <w:color w:val="auto"/>
              </w:rPr>
            </w:pPr>
            <w:r>
              <w:rPr>
                <w:rFonts w:ascii="Arial" w:cs="Arial" w:eastAsia="Arial" w:hAnsi="Arial"/>
                <w:sz w:val="10"/>
                <w:szCs w:val="10"/>
                <w:b w:val="1"/>
                <w:bCs w:val="1"/>
                <w:color w:val="auto"/>
              </w:rPr>
              <w:t>IN LAST FY</w:t>
            </w:r>
            <w:r>
              <w:rPr>
                <w:rFonts w:ascii="Arial" w:cs="Arial" w:eastAsia="Arial" w:hAnsi="Arial"/>
                <w:sz w:val="16"/>
                <w:szCs w:val="16"/>
                <w:b w:val="1"/>
                <w:bCs w:val="1"/>
                <w:color w:val="auto"/>
                <w:vertAlign w:val="superscript"/>
              </w:rPr>
              <w:t>(2)</w:t>
            </w:r>
          </w:p>
        </w:tc>
        <w:tc>
          <w:tcPr>
            <w:tcW w:w="1360" w:type="dxa"/>
            <w:vAlign w:val="bottom"/>
          </w:tcPr>
          <w:p>
            <w:pPr>
              <w:jc w:val="right"/>
              <w:ind w:right="93"/>
              <w:spacing w:after="0" w:line="144" w:lineRule="exact"/>
              <w:rPr>
                <w:sz w:val="20"/>
                <w:szCs w:val="20"/>
                <w:color w:val="auto"/>
              </w:rPr>
            </w:pPr>
            <w:r>
              <w:rPr>
                <w:rFonts w:ascii="Arial" w:cs="Arial" w:eastAsia="Arial" w:hAnsi="Arial"/>
                <w:sz w:val="13"/>
                <w:szCs w:val="13"/>
                <w:b w:val="1"/>
                <w:bCs w:val="1"/>
                <w:color w:val="auto"/>
              </w:rPr>
              <w:t>DISTRIBUTIONS</w:t>
            </w:r>
          </w:p>
        </w:tc>
        <w:tc>
          <w:tcPr>
            <w:tcW w:w="1220" w:type="dxa"/>
            <w:vAlign w:val="bottom"/>
          </w:tcPr>
          <w:p>
            <w:pPr>
              <w:jc w:val="right"/>
              <w:ind w:right="34"/>
              <w:spacing w:after="0" w:line="144" w:lineRule="exact"/>
              <w:rPr>
                <w:sz w:val="20"/>
                <w:szCs w:val="20"/>
                <w:color w:val="auto"/>
              </w:rPr>
            </w:pPr>
            <w:r>
              <w:rPr>
                <w:rFonts w:ascii="Arial" w:cs="Arial" w:eastAsia="Arial" w:hAnsi="Arial"/>
                <w:sz w:val="10"/>
                <w:szCs w:val="10"/>
                <w:b w:val="1"/>
                <w:bCs w:val="1"/>
                <w:color w:val="auto"/>
              </w:rPr>
              <w:t>AT LAST FYE</w:t>
            </w:r>
            <w:r>
              <w:rPr>
                <w:rFonts w:ascii="Arial" w:cs="Arial" w:eastAsia="Arial" w:hAnsi="Arial"/>
                <w:sz w:val="16"/>
                <w:szCs w:val="16"/>
                <w:b w:val="1"/>
                <w:bCs w:val="1"/>
                <w:color w:val="auto"/>
                <w:vertAlign w:val="superscript"/>
              </w:rPr>
              <w:t>(3)</w:t>
            </w:r>
          </w:p>
        </w:tc>
      </w:tr>
      <w:tr>
        <w:trPr>
          <w:trHeight w:val="172"/>
        </w:trPr>
        <w:tc>
          <w:tcPr>
            <w:tcW w:w="1980" w:type="dxa"/>
            <w:vAlign w:val="bottom"/>
          </w:tcPr>
          <w:p>
            <w:pPr>
              <w:spacing w:after="0"/>
              <w:rPr>
                <w:sz w:val="14"/>
                <w:szCs w:val="14"/>
                <w:color w:val="auto"/>
              </w:rPr>
            </w:pPr>
          </w:p>
        </w:tc>
        <w:tc>
          <w:tcPr>
            <w:tcW w:w="2020" w:type="dxa"/>
            <w:vAlign w:val="bottom"/>
          </w:tcPr>
          <w:p>
            <w:pPr>
              <w:jc w:val="right"/>
              <w:ind w:right="114"/>
              <w:spacing w:after="0"/>
              <w:rPr>
                <w:sz w:val="20"/>
                <w:szCs w:val="20"/>
                <w:color w:val="auto"/>
              </w:rPr>
            </w:pPr>
            <w:r>
              <w:rPr>
                <w:rFonts w:ascii="Arial" w:cs="Arial" w:eastAsia="Arial" w:hAnsi="Arial"/>
                <w:sz w:val="13"/>
                <w:szCs w:val="13"/>
                <w:b w:val="1"/>
                <w:bCs w:val="1"/>
                <w:color w:val="auto"/>
              </w:rPr>
              <w:t>($)</w:t>
            </w:r>
          </w:p>
        </w:tc>
        <w:tc>
          <w:tcPr>
            <w:tcW w:w="1620" w:type="dxa"/>
            <w:vAlign w:val="bottom"/>
          </w:tcPr>
          <w:p>
            <w:pPr>
              <w:jc w:val="right"/>
              <w:ind w:right="114"/>
              <w:spacing w:after="0"/>
              <w:rPr>
                <w:sz w:val="20"/>
                <w:szCs w:val="20"/>
                <w:color w:val="auto"/>
              </w:rPr>
            </w:pPr>
            <w:r>
              <w:rPr>
                <w:rFonts w:ascii="Arial" w:cs="Arial" w:eastAsia="Arial" w:hAnsi="Arial"/>
                <w:sz w:val="13"/>
                <w:szCs w:val="13"/>
                <w:b w:val="1"/>
                <w:bCs w:val="1"/>
                <w:color w:val="auto"/>
              </w:rPr>
              <w:t>($)</w:t>
            </w:r>
          </w:p>
        </w:tc>
        <w:tc>
          <w:tcPr>
            <w:tcW w:w="1200" w:type="dxa"/>
            <w:vAlign w:val="bottom"/>
          </w:tcPr>
          <w:p>
            <w:pPr>
              <w:jc w:val="right"/>
              <w:ind w:right="114"/>
              <w:spacing w:after="0"/>
              <w:rPr>
                <w:sz w:val="20"/>
                <w:szCs w:val="20"/>
                <w:color w:val="auto"/>
              </w:rPr>
            </w:pPr>
            <w:r>
              <w:rPr>
                <w:rFonts w:ascii="Arial" w:cs="Arial" w:eastAsia="Arial" w:hAnsi="Arial"/>
                <w:sz w:val="13"/>
                <w:szCs w:val="13"/>
                <w:b w:val="1"/>
                <w:bCs w:val="1"/>
                <w:color w:val="auto"/>
              </w:rPr>
              <w:t>($)</w:t>
            </w:r>
          </w:p>
        </w:tc>
        <w:tc>
          <w:tcPr>
            <w:tcW w:w="1360" w:type="dxa"/>
            <w:vAlign w:val="bottom"/>
          </w:tcPr>
          <w:p>
            <w:pPr>
              <w:jc w:val="right"/>
              <w:ind w:right="93"/>
              <w:spacing w:after="0"/>
              <w:rPr>
                <w:sz w:val="20"/>
                <w:szCs w:val="20"/>
                <w:color w:val="auto"/>
              </w:rPr>
            </w:pPr>
            <w:r>
              <w:rPr>
                <w:rFonts w:ascii="Arial" w:cs="Arial" w:eastAsia="Arial" w:hAnsi="Arial"/>
                <w:sz w:val="13"/>
                <w:szCs w:val="13"/>
                <w:b w:val="1"/>
                <w:bCs w:val="1"/>
                <w:color w:val="auto"/>
              </w:rPr>
              <w:t>($)</w:t>
            </w:r>
          </w:p>
        </w:tc>
        <w:tc>
          <w:tcPr>
            <w:tcW w:w="1220" w:type="dxa"/>
            <w:vAlign w:val="bottom"/>
          </w:tcPr>
          <w:p>
            <w:pPr>
              <w:jc w:val="right"/>
              <w:ind w:right="34"/>
              <w:spacing w:after="0"/>
              <w:rPr>
                <w:sz w:val="20"/>
                <w:szCs w:val="20"/>
                <w:color w:val="auto"/>
              </w:rPr>
            </w:pPr>
            <w:r>
              <w:rPr>
                <w:rFonts w:ascii="Arial" w:cs="Arial" w:eastAsia="Arial" w:hAnsi="Arial"/>
                <w:sz w:val="13"/>
                <w:szCs w:val="13"/>
                <w:b w:val="1"/>
                <w:bCs w:val="1"/>
                <w:color w:val="auto"/>
              </w:rPr>
              <w:t>($)</w:t>
            </w:r>
          </w:p>
        </w:tc>
      </w:tr>
      <w:tr>
        <w:trPr>
          <w:trHeight w:val="62"/>
        </w:trPr>
        <w:tc>
          <w:tcPr>
            <w:tcW w:w="198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304"/>
        </w:trPr>
        <w:tc>
          <w:tcPr>
            <w:tcW w:w="198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b w:val="1"/>
                <w:bCs w:val="1"/>
                <w:color w:val="auto"/>
              </w:rPr>
              <w:t>Efraim Grinberg</w:t>
            </w:r>
          </w:p>
        </w:tc>
        <w:tc>
          <w:tcPr>
            <w:tcW w:w="2020" w:type="dxa"/>
            <w:vAlign w:val="bottom"/>
            <w:tcBorders>
              <w:bottom w:val="single" w:sz="8" w:color="E6E6E6"/>
            </w:tcBorders>
            <w:shd w:val="clear" w:color="auto" w:fill="E6E6E6"/>
          </w:tcPr>
          <w:p>
            <w:pPr>
              <w:jc w:val="right"/>
              <w:ind w:right="114"/>
              <w:spacing w:after="0"/>
              <w:rPr>
                <w:sz w:val="20"/>
                <w:szCs w:val="20"/>
                <w:color w:val="auto"/>
              </w:rPr>
            </w:pPr>
            <w:r>
              <w:rPr>
                <w:rFonts w:ascii="Arial" w:cs="Arial" w:eastAsia="Arial" w:hAnsi="Arial"/>
                <w:sz w:val="14"/>
                <w:szCs w:val="14"/>
                <w:color w:val="auto"/>
              </w:rPr>
              <w:t>130,000</w:t>
            </w:r>
          </w:p>
        </w:tc>
        <w:tc>
          <w:tcPr>
            <w:tcW w:w="1620" w:type="dxa"/>
            <w:vAlign w:val="bottom"/>
            <w:tcBorders>
              <w:bottom w:val="single" w:sz="8" w:color="E6E6E6"/>
            </w:tcBorders>
            <w:shd w:val="clear" w:color="auto" w:fill="E6E6E6"/>
          </w:tcPr>
          <w:p>
            <w:pPr>
              <w:jc w:val="right"/>
              <w:ind w:right="114"/>
              <w:spacing w:after="0"/>
              <w:rPr>
                <w:sz w:val="20"/>
                <w:szCs w:val="20"/>
                <w:color w:val="auto"/>
              </w:rPr>
            </w:pPr>
            <w:r>
              <w:rPr>
                <w:rFonts w:ascii="Arial" w:cs="Arial" w:eastAsia="Arial" w:hAnsi="Arial"/>
                <w:sz w:val="14"/>
                <w:szCs w:val="14"/>
                <w:color w:val="auto"/>
              </w:rPr>
              <w:t>130,000</w:t>
            </w:r>
          </w:p>
        </w:tc>
        <w:tc>
          <w:tcPr>
            <w:tcW w:w="1200" w:type="dxa"/>
            <w:vAlign w:val="bottom"/>
            <w:tcBorders>
              <w:bottom w:val="single" w:sz="8" w:color="E6E6E6"/>
            </w:tcBorders>
            <w:shd w:val="clear" w:color="auto" w:fill="E6E6E6"/>
          </w:tcPr>
          <w:p>
            <w:pPr>
              <w:jc w:val="right"/>
              <w:ind w:right="114"/>
              <w:spacing w:after="0"/>
              <w:rPr>
                <w:sz w:val="20"/>
                <w:szCs w:val="20"/>
                <w:color w:val="auto"/>
              </w:rPr>
            </w:pPr>
            <w:r>
              <w:rPr>
                <w:rFonts w:ascii="Arial" w:cs="Arial" w:eastAsia="Arial" w:hAnsi="Arial"/>
                <w:sz w:val="14"/>
                <w:szCs w:val="14"/>
                <w:color w:val="auto"/>
              </w:rPr>
              <w:t>1,821,532</w:t>
            </w:r>
          </w:p>
        </w:tc>
        <w:tc>
          <w:tcPr>
            <w:tcW w:w="1360" w:type="dxa"/>
            <w:vAlign w:val="bottom"/>
            <w:tcBorders>
              <w:bottom w:val="single" w:sz="8" w:color="E6E6E6"/>
            </w:tcBorders>
            <w:shd w:val="clear" w:color="auto" w:fill="E6E6E6"/>
          </w:tcPr>
          <w:p>
            <w:pPr>
              <w:jc w:val="right"/>
              <w:ind w:right="93"/>
              <w:spacing w:after="0"/>
              <w:rPr>
                <w:sz w:val="20"/>
                <w:szCs w:val="20"/>
                <w:color w:val="auto"/>
              </w:rPr>
            </w:pPr>
            <w:r>
              <w:rPr>
                <w:rFonts w:ascii="Arial" w:cs="Arial" w:eastAsia="Arial" w:hAnsi="Arial"/>
                <w:sz w:val="14"/>
                <w:szCs w:val="14"/>
                <w:color w:val="auto"/>
              </w:rPr>
              <w:t>735,026</w:t>
            </w:r>
          </w:p>
        </w:tc>
        <w:tc>
          <w:tcPr>
            <w:tcW w:w="1220" w:type="dxa"/>
            <w:vAlign w:val="bottom"/>
            <w:tcBorders>
              <w:bottom w:val="single" w:sz="8" w:color="E6E6E6"/>
            </w:tcBorders>
            <w:shd w:val="clear" w:color="auto" w:fill="E6E6E6"/>
          </w:tcPr>
          <w:p>
            <w:pPr>
              <w:jc w:val="right"/>
              <w:ind w:right="34"/>
              <w:spacing w:after="0"/>
              <w:rPr>
                <w:sz w:val="20"/>
                <w:szCs w:val="20"/>
                <w:color w:val="auto"/>
              </w:rPr>
            </w:pPr>
            <w:r>
              <w:rPr>
                <w:rFonts w:ascii="Arial" w:cs="Arial" w:eastAsia="Arial" w:hAnsi="Arial"/>
                <w:sz w:val="14"/>
                <w:szCs w:val="14"/>
                <w:color w:val="auto"/>
              </w:rPr>
              <w:t>16,966,602</w:t>
            </w:r>
          </w:p>
        </w:tc>
      </w:tr>
      <w:tr>
        <w:trPr>
          <w:trHeight w:val="254"/>
        </w:trPr>
        <w:tc>
          <w:tcPr>
            <w:tcW w:w="1980" w:type="dxa"/>
            <w:vAlign w:val="bottom"/>
          </w:tcPr>
          <w:p>
            <w:pPr>
              <w:ind w:left="160"/>
              <w:spacing w:after="0"/>
              <w:rPr>
                <w:sz w:val="20"/>
                <w:szCs w:val="20"/>
                <w:color w:val="auto"/>
              </w:rPr>
            </w:pPr>
            <w:r>
              <w:rPr>
                <w:rFonts w:ascii="Arial" w:cs="Arial" w:eastAsia="Arial" w:hAnsi="Arial"/>
                <w:sz w:val="14"/>
                <w:szCs w:val="14"/>
                <w:b w:val="1"/>
                <w:bCs w:val="1"/>
                <w:color w:val="auto"/>
              </w:rPr>
              <w:t>Sallie DeMarsilis</w:t>
            </w:r>
          </w:p>
        </w:tc>
        <w:tc>
          <w:tcPr>
            <w:tcW w:w="2020" w:type="dxa"/>
            <w:vAlign w:val="bottom"/>
          </w:tcPr>
          <w:p>
            <w:pPr>
              <w:jc w:val="right"/>
              <w:ind w:right="114"/>
              <w:spacing w:after="0"/>
              <w:rPr>
                <w:sz w:val="20"/>
                <w:szCs w:val="20"/>
                <w:color w:val="auto"/>
              </w:rPr>
            </w:pPr>
            <w:r>
              <w:rPr>
                <w:rFonts w:ascii="Arial" w:cs="Arial" w:eastAsia="Arial" w:hAnsi="Arial"/>
                <w:sz w:val="14"/>
                <w:szCs w:val="14"/>
                <w:color w:val="auto"/>
              </w:rPr>
              <w:t>67,275</w:t>
            </w:r>
          </w:p>
        </w:tc>
        <w:tc>
          <w:tcPr>
            <w:tcW w:w="1620" w:type="dxa"/>
            <w:vAlign w:val="bottom"/>
          </w:tcPr>
          <w:p>
            <w:pPr>
              <w:jc w:val="right"/>
              <w:ind w:right="114"/>
              <w:spacing w:after="0"/>
              <w:rPr>
                <w:sz w:val="20"/>
                <w:szCs w:val="20"/>
                <w:color w:val="auto"/>
              </w:rPr>
            </w:pPr>
            <w:r>
              <w:rPr>
                <w:rFonts w:ascii="Arial" w:cs="Arial" w:eastAsia="Arial" w:hAnsi="Arial"/>
                <w:sz w:val="14"/>
                <w:szCs w:val="14"/>
                <w:color w:val="auto"/>
              </w:rPr>
              <w:t>67,275</w:t>
            </w:r>
          </w:p>
        </w:tc>
        <w:tc>
          <w:tcPr>
            <w:tcW w:w="1200" w:type="dxa"/>
            <w:vAlign w:val="bottom"/>
          </w:tcPr>
          <w:p>
            <w:pPr>
              <w:jc w:val="right"/>
              <w:ind w:right="114"/>
              <w:spacing w:after="0"/>
              <w:rPr>
                <w:sz w:val="20"/>
                <w:szCs w:val="20"/>
                <w:color w:val="auto"/>
              </w:rPr>
            </w:pPr>
            <w:r>
              <w:rPr>
                <w:rFonts w:ascii="Arial" w:cs="Arial" w:eastAsia="Arial" w:hAnsi="Arial"/>
                <w:sz w:val="14"/>
                <w:szCs w:val="14"/>
                <w:color w:val="auto"/>
              </w:rPr>
              <w:t>659,077</w:t>
            </w:r>
          </w:p>
        </w:tc>
        <w:tc>
          <w:tcPr>
            <w:tcW w:w="1360" w:type="dxa"/>
            <w:vAlign w:val="bottom"/>
          </w:tcPr>
          <w:p>
            <w:pPr>
              <w:jc w:val="right"/>
              <w:ind w:right="93"/>
              <w:spacing w:after="0"/>
              <w:rPr>
                <w:sz w:val="20"/>
                <w:szCs w:val="20"/>
                <w:color w:val="auto"/>
              </w:rPr>
            </w:pPr>
            <w:r>
              <w:rPr>
                <w:rFonts w:ascii="Arial" w:cs="Arial" w:eastAsia="Arial" w:hAnsi="Arial"/>
                <w:sz w:val="14"/>
                <w:szCs w:val="14"/>
                <w:color w:val="auto"/>
              </w:rPr>
              <w:t>18,453</w:t>
            </w:r>
          </w:p>
        </w:tc>
        <w:tc>
          <w:tcPr>
            <w:tcW w:w="1220" w:type="dxa"/>
            <w:vAlign w:val="bottom"/>
          </w:tcPr>
          <w:p>
            <w:pPr>
              <w:jc w:val="right"/>
              <w:ind w:right="34"/>
              <w:spacing w:after="0"/>
              <w:rPr>
                <w:sz w:val="20"/>
                <w:szCs w:val="20"/>
                <w:color w:val="auto"/>
              </w:rPr>
            </w:pPr>
            <w:r>
              <w:rPr>
                <w:rFonts w:ascii="Arial" w:cs="Arial" w:eastAsia="Arial" w:hAnsi="Arial"/>
                <w:sz w:val="14"/>
                <w:szCs w:val="14"/>
                <w:color w:val="auto"/>
              </w:rPr>
              <w:t>5,755,420</w:t>
            </w:r>
          </w:p>
        </w:tc>
      </w:tr>
      <w:tr>
        <w:trPr>
          <w:trHeight w:val="56"/>
        </w:trPr>
        <w:tc>
          <w:tcPr>
            <w:tcW w:w="19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91"/>
        </w:trPr>
        <w:tc>
          <w:tcPr>
            <w:tcW w:w="198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b w:val="1"/>
                <w:bCs w:val="1"/>
                <w:color w:val="auto"/>
              </w:rPr>
              <w:t>Behzad Soltani</w:t>
            </w:r>
          </w:p>
        </w:tc>
        <w:tc>
          <w:tcPr>
            <w:tcW w:w="2020" w:type="dxa"/>
            <w:vAlign w:val="bottom"/>
            <w:tcBorders>
              <w:bottom w:val="single" w:sz="8" w:color="E6E6E6"/>
            </w:tcBorders>
            <w:shd w:val="clear" w:color="auto" w:fill="E6E6E6"/>
          </w:tcPr>
          <w:p>
            <w:pPr>
              <w:jc w:val="right"/>
              <w:ind w:right="114"/>
              <w:spacing w:after="0"/>
              <w:rPr>
                <w:sz w:val="20"/>
                <w:szCs w:val="20"/>
                <w:color w:val="auto"/>
              </w:rPr>
            </w:pPr>
            <w:r>
              <w:rPr>
                <w:rFonts w:ascii="Arial" w:cs="Arial" w:eastAsia="Arial" w:hAnsi="Arial"/>
                <w:sz w:val="14"/>
                <w:szCs w:val="14"/>
                <w:color w:val="auto"/>
              </w:rPr>
              <w:t>37,260</w:t>
            </w:r>
          </w:p>
        </w:tc>
        <w:tc>
          <w:tcPr>
            <w:tcW w:w="1620" w:type="dxa"/>
            <w:vAlign w:val="bottom"/>
            <w:tcBorders>
              <w:bottom w:val="single" w:sz="8" w:color="E6E6E6"/>
            </w:tcBorders>
            <w:shd w:val="clear" w:color="auto" w:fill="E6E6E6"/>
          </w:tcPr>
          <w:p>
            <w:pPr>
              <w:jc w:val="right"/>
              <w:ind w:right="114"/>
              <w:spacing w:after="0"/>
              <w:rPr>
                <w:sz w:val="20"/>
                <w:szCs w:val="20"/>
                <w:color w:val="auto"/>
              </w:rPr>
            </w:pPr>
            <w:r>
              <w:rPr>
                <w:rFonts w:ascii="Arial" w:cs="Arial" w:eastAsia="Arial" w:hAnsi="Arial"/>
                <w:sz w:val="14"/>
                <w:szCs w:val="14"/>
                <w:color w:val="auto"/>
              </w:rPr>
              <w:t>37,260</w:t>
            </w:r>
          </w:p>
        </w:tc>
        <w:tc>
          <w:tcPr>
            <w:tcW w:w="1200" w:type="dxa"/>
            <w:vAlign w:val="bottom"/>
            <w:tcBorders>
              <w:bottom w:val="single" w:sz="8" w:color="E6E6E6"/>
            </w:tcBorders>
            <w:shd w:val="clear" w:color="auto" w:fill="E6E6E6"/>
          </w:tcPr>
          <w:p>
            <w:pPr>
              <w:jc w:val="right"/>
              <w:ind w:right="114"/>
              <w:spacing w:after="0"/>
              <w:rPr>
                <w:sz w:val="20"/>
                <w:szCs w:val="20"/>
                <w:color w:val="auto"/>
              </w:rPr>
            </w:pPr>
            <w:r>
              <w:rPr>
                <w:rFonts w:ascii="Arial" w:cs="Arial" w:eastAsia="Arial" w:hAnsi="Arial"/>
                <w:sz w:val="14"/>
                <w:szCs w:val="14"/>
                <w:color w:val="auto"/>
              </w:rPr>
              <w:t>57,435</w:t>
            </w:r>
          </w:p>
        </w:tc>
        <w:tc>
          <w:tcPr>
            <w:tcW w:w="1360" w:type="dxa"/>
            <w:vAlign w:val="bottom"/>
            <w:tcBorders>
              <w:bottom w:val="single" w:sz="8" w:color="E6E6E6"/>
            </w:tcBorders>
            <w:shd w:val="clear" w:color="auto" w:fill="E6E6E6"/>
          </w:tcPr>
          <w:p>
            <w:pPr>
              <w:jc w:val="right"/>
              <w:ind w:right="9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E6E6E6"/>
            </w:tcBorders>
            <w:shd w:val="clear" w:color="auto" w:fill="E6E6E6"/>
          </w:tcPr>
          <w:p>
            <w:pPr>
              <w:jc w:val="right"/>
              <w:ind w:right="34"/>
              <w:spacing w:after="0"/>
              <w:rPr>
                <w:sz w:val="20"/>
                <w:szCs w:val="20"/>
                <w:color w:val="auto"/>
              </w:rPr>
            </w:pPr>
            <w:r>
              <w:rPr>
                <w:rFonts w:ascii="Arial" w:cs="Arial" w:eastAsia="Arial" w:hAnsi="Arial"/>
                <w:sz w:val="14"/>
                <w:szCs w:val="14"/>
                <w:color w:val="auto"/>
              </w:rPr>
              <w:t>898,988</w:t>
            </w:r>
          </w:p>
        </w:tc>
      </w:tr>
      <w:tr>
        <w:trPr>
          <w:trHeight w:val="254"/>
        </w:trPr>
        <w:tc>
          <w:tcPr>
            <w:tcW w:w="1980" w:type="dxa"/>
            <w:vAlign w:val="bottom"/>
          </w:tcPr>
          <w:p>
            <w:pPr>
              <w:ind w:left="160"/>
              <w:spacing w:after="0"/>
              <w:rPr>
                <w:sz w:val="20"/>
                <w:szCs w:val="20"/>
                <w:color w:val="auto"/>
              </w:rPr>
            </w:pPr>
            <w:r>
              <w:rPr>
                <w:rFonts w:ascii="Arial" w:cs="Arial" w:eastAsia="Arial" w:hAnsi="Arial"/>
                <w:sz w:val="14"/>
                <w:szCs w:val="14"/>
                <w:b w:val="1"/>
                <w:bCs w:val="1"/>
                <w:color w:val="auto"/>
              </w:rPr>
              <w:t>Mitchell Sussis</w:t>
            </w:r>
          </w:p>
        </w:tc>
        <w:tc>
          <w:tcPr>
            <w:tcW w:w="2020" w:type="dxa"/>
            <w:vAlign w:val="bottom"/>
          </w:tcPr>
          <w:p>
            <w:pPr>
              <w:jc w:val="right"/>
              <w:ind w:right="114"/>
              <w:spacing w:after="0"/>
              <w:rPr>
                <w:sz w:val="20"/>
                <w:szCs w:val="20"/>
                <w:color w:val="auto"/>
              </w:rPr>
            </w:pPr>
            <w:r>
              <w:rPr>
                <w:rFonts w:ascii="Arial" w:cs="Arial" w:eastAsia="Arial" w:hAnsi="Arial"/>
                <w:sz w:val="14"/>
                <w:szCs w:val="14"/>
                <w:color w:val="auto"/>
              </w:rPr>
              <w:t>23,556</w:t>
            </w:r>
          </w:p>
        </w:tc>
        <w:tc>
          <w:tcPr>
            <w:tcW w:w="1620" w:type="dxa"/>
            <w:vAlign w:val="bottom"/>
          </w:tcPr>
          <w:p>
            <w:pPr>
              <w:jc w:val="right"/>
              <w:ind w:right="114"/>
              <w:spacing w:after="0"/>
              <w:rPr>
                <w:sz w:val="20"/>
                <w:szCs w:val="20"/>
                <w:color w:val="auto"/>
              </w:rPr>
            </w:pPr>
            <w:r>
              <w:rPr>
                <w:rFonts w:ascii="Arial" w:cs="Arial" w:eastAsia="Arial" w:hAnsi="Arial"/>
                <w:sz w:val="14"/>
                <w:szCs w:val="14"/>
                <w:color w:val="auto"/>
              </w:rPr>
              <w:t>23,556</w:t>
            </w:r>
          </w:p>
        </w:tc>
        <w:tc>
          <w:tcPr>
            <w:tcW w:w="1200" w:type="dxa"/>
            <w:vAlign w:val="bottom"/>
          </w:tcPr>
          <w:p>
            <w:pPr>
              <w:jc w:val="right"/>
              <w:ind w:right="114"/>
              <w:spacing w:after="0"/>
              <w:rPr>
                <w:sz w:val="20"/>
                <w:szCs w:val="20"/>
                <w:color w:val="auto"/>
              </w:rPr>
            </w:pPr>
            <w:r>
              <w:rPr>
                <w:rFonts w:ascii="Arial" w:cs="Arial" w:eastAsia="Arial" w:hAnsi="Arial"/>
                <w:sz w:val="14"/>
                <w:szCs w:val="14"/>
                <w:color w:val="auto"/>
              </w:rPr>
              <w:t>81,535</w:t>
            </w:r>
          </w:p>
        </w:tc>
        <w:tc>
          <w:tcPr>
            <w:tcW w:w="1360" w:type="dxa"/>
            <w:vAlign w:val="bottom"/>
          </w:tcPr>
          <w:p>
            <w:pPr>
              <w:jc w:val="right"/>
              <w:ind w:right="93"/>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34"/>
              <w:spacing w:after="0"/>
              <w:rPr>
                <w:sz w:val="20"/>
                <w:szCs w:val="20"/>
                <w:color w:val="auto"/>
              </w:rPr>
            </w:pPr>
            <w:r>
              <w:rPr>
                <w:rFonts w:ascii="Arial" w:cs="Arial" w:eastAsia="Arial" w:hAnsi="Arial"/>
                <w:sz w:val="14"/>
                <w:szCs w:val="14"/>
                <w:color w:val="auto"/>
              </w:rPr>
              <w:t>639,720</w:t>
            </w:r>
          </w:p>
        </w:tc>
      </w:tr>
      <w:tr>
        <w:trPr>
          <w:trHeight w:val="56"/>
        </w:trPr>
        <w:tc>
          <w:tcPr>
            <w:tcW w:w="19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20" w:type="dxa"/>
            <w:vAlign w:val="bottom"/>
          </w:tcPr>
          <w:p>
            <w:pPr>
              <w:spacing w:after="0"/>
              <w:rPr>
                <w:sz w:val="4"/>
                <w:szCs w:val="4"/>
                <w:color w:val="auto"/>
              </w:rPr>
            </w:pPr>
          </w:p>
        </w:tc>
      </w:tr>
      <w:tr>
        <w:trPr>
          <w:trHeight w:val="263"/>
        </w:trPr>
        <w:tc>
          <w:tcPr>
            <w:tcW w:w="198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b w:val="1"/>
                <w:bCs w:val="1"/>
                <w:color w:val="auto"/>
              </w:rPr>
              <w:t>Michelle Kennedy</w:t>
            </w:r>
          </w:p>
        </w:tc>
        <w:tc>
          <w:tcPr>
            <w:tcW w:w="2020" w:type="dxa"/>
            <w:vAlign w:val="bottom"/>
            <w:tcBorders>
              <w:bottom w:val="single" w:sz="8" w:color="E6E6E6"/>
            </w:tcBorders>
            <w:shd w:val="clear" w:color="auto" w:fill="E6E6E6"/>
          </w:tcPr>
          <w:p>
            <w:pPr>
              <w:jc w:val="right"/>
              <w:ind w:right="114"/>
              <w:spacing w:after="0"/>
              <w:rPr>
                <w:sz w:val="20"/>
                <w:szCs w:val="20"/>
                <w:color w:val="auto"/>
              </w:rPr>
            </w:pPr>
            <w:r>
              <w:rPr>
                <w:rFonts w:ascii="Arial" w:cs="Arial" w:eastAsia="Arial" w:hAnsi="Arial"/>
                <w:sz w:val="14"/>
                <w:szCs w:val="14"/>
                <w:color w:val="auto"/>
              </w:rPr>
              <w:t>23,556</w:t>
            </w:r>
          </w:p>
        </w:tc>
        <w:tc>
          <w:tcPr>
            <w:tcW w:w="1620" w:type="dxa"/>
            <w:vAlign w:val="bottom"/>
            <w:tcBorders>
              <w:bottom w:val="single" w:sz="8" w:color="E6E6E6"/>
            </w:tcBorders>
            <w:shd w:val="clear" w:color="auto" w:fill="E6E6E6"/>
          </w:tcPr>
          <w:p>
            <w:pPr>
              <w:jc w:val="right"/>
              <w:ind w:right="114"/>
              <w:spacing w:after="0"/>
              <w:rPr>
                <w:sz w:val="20"/>
                <w:szCs w:val="20"/>
                <w:color w:val="auto"/>
              </w:rPr>
            </w:pPr>
            <w:r>
              <w:rPr>
                <w:rFonts w:ascii="Arial" w:cs="Arial" w:eastAsia="Arial" w:hAnsi="Arial"/>
                <w:sz w:val="14"/>
                <w:szCs w:val="14"/>
                <w:color w:val="auto"/>
              </w:rPr>
              <w:t>23,556</w:t>
            </w:r>
          </w:p>
        </w:tc>
        <w:tc>
          <w:tcPr>
            <w:tcW w:w="1200" w:type="dxa"/>
            <w:vAlign w:val="bottom"/>
            <w:tcBorders>
              <w:bottom w:val="single" w:sz="8" w:color="E6E6E6"/>
            </w:tcBorders>
            <w:shd w:val="clear" w:color="auto" w:fill="E6E6E6"/>
          </w:tcPr>
          <w:p>
            <w:pPr>
              <w:jc w:val="right"/>
              <w:ind w:right="114"/>
              <w:spacing w:after="0"/>
              <w:rPr>
                <w:sz w:val="20"/>
                <w:szCs w:val="20"/>
                <w:color w:val="auto"/>
              </w:rPr>
            </w:pPr>
            <w:r>
              <w:rPr>
                <w:rFonts w:ascii="Arial" w:cs="Arial" w:eastAsia="Arial" w:hAnsi="Arial"/>
                <w:sz w:val="14"/>
                <w:szCs w:val="14"/>
                <w:color w:val="auto"/>
              </w:rPr>
              <w:t>12,077</w:t>
            </w:r>
          </w:p>
        </w:tc>
        <w:tc>
          <w:tcPr>
            <w:tcW w:w="1360" w:type="dxa"/>
            <w:vAlign w:val="bottom"/>
            <w:tcBorders>
              <w:bottom w:val="single" w:sz="8" w:color="E6E6E6"/>
            </w:tcBorders>
            <w:shd w:val="clear" w:color="auto" w:fill="E6E6E6"/>
          </w:tcPr>
          <w:p>
            <w:pPr>
              <w:jc w:val="right"/>
              <w:ind w:right="93"/>
              <w:spacing w:after="0"/>
              <w:rPr>
                <w:sz w:val="20"/>
                <w:szCs w:val="20"/>
                <w:color w:val="auto"/>
              </w:rPr>
            </w:pPr>
            <w:r>
              <w:rPr>
                <w:rFonts w:ascii="Arial" w:cs="Arial" w:eastAsia="Arial" w:hAnsi="Arial"/>
                <w:sz w:val="14"/>
                <w:szCs w:val="14"/>
                <w:color w:val="auto"/>
              </w:rPr>
              <w:t>37,702</w:t>
            </w:r>
          </w:p>
        </w:tc>
        <w:tc>
          <w:tcPr>
            <w:tcW w:w="1220" w:type="dxa"/>
            <w:vAlign w:val="bottom"/>
            <w:tcBorders>
              <w:bottom w:val="single" w:sz="8" w:color="E6E6E6"/>
            </w:tcBorders>
            <w:shd w:val="clear" w:color="auto" w:fill="E6E6E6"/>
          </w:tcPr>
          <w:p>
            <w:pPr>
              <w:jc w:val="right"/>
              <w:ind w:right="34"/>
              <w:spacing w:after="0"/>
              <w:rPr>
                <w:sz w:val="20"/>
                <w:szCs w:val="20"/>
                <w:color w:val="auto"/>
              </w:rPr>
            </w:pPr>
            <w:r>
              <w:rPr>
                <w:rFonts w:ascii="Arial" w:cs="Arial" w:eastAsia="Arial" w:hAnsi="Arial"/>
                <w:sz w:val="14"/>
                <w:szCs w:val="14"/>
                <w:color w:val="auto"/>
              </w:rPr>
              <w:t>85,957</w:t>
            </w:r>
          </w:p>
        </w:tc>
      </w:tr>
      <w:tr>
        <w:trPr>
          <w:trHeight w:val="20"/>
        </w:trPr>
        <w:tc>
          <w:tcPr>
            <w:tcW w:w="1980" w:type="dxa"/>
            <w:vAlign w:val="bottom"/>
            <w:shd w:val="clear" w:color="auto" w:fill="D9BA05"/>
          </w:tcPr>
          <w:p>
            <w:pPr>
              <w:spacing w:after="0" w:line="20" w:lineRule="exact"/>
              <w:rPr>
                <w:sz w:val="1"/>
                <w:szCs w:val="1"/>
                <w:color w:val="auto"/>
              </w:rPr>
            </w:pPr>
          </w:p>
        </w:tc>
        <w:tc>
          <w:tcPr>
            <w:tcW w:w="2020" w:type="dxa"/>
            <w:vAlign w:val="bottom"/>
            <w:shd w:val="clear" w:color="auto" w:fill="D9BA05"/>
          </w:tcPr>
          <w:p>
            <w:pPr>
              <w:spacing w:after="0" w:line="20" w:lineRule="exact"/>
              <w:rPr>
                <w:sz w:val="1"/>
                <w:szCs w:val="1"/>
                <w:color w:val="auto"/>
              </w:rPr>
            </w:pPr>
          </w:p>
        </w:tc>
        <w:tc>
          <w:tcPr>
            <w:tcW w:w="1620" w:type="dxa"/>
            <w:vAlign w:val="bottom"/>
            <w:shd w:val="clear" w:color="auto" w:fill="D9BA05"/>
          </w:tcPr>
          <w:p>
            <w:pPr>
              <w:spacing w:after="0" w:line="20" w:lineRule="exact"/>
              <w:rPr>
                <w:sz w:val="1"/>
                <w:szCs w:val="1"/>
                <w:color w:val="auto"/>
              </w:rPr>
            </w:pPr>
          </w:p>
        </w:tc>
        <w:tc>
          <w:tcPr>
            <w:tcW w:w="1200" w:type="dxa"/>
            <w:vAlign w:val="bottom"/>
            <w:shd w:val="clear" w:color="auto" w:fill="D9BA05"/>
          </w:tcPr>
          <w:p>
            <w:pPr>
              <w:spacing w:after="0" w:line="20" w:lineRule="exact"/>
              <w:rPr>
                <w:sz w:val="1"/>
                <w:szCs w:val="1"/>
                <w:color w:val="auto"/>
              </w:rPr>
            </w:pPr>
          </w:p>
        </w:tc>
        <w:tc>
          <w:tcPr>
            <w:tcW w:w="1360" w:type="dxa"/>
            <w:vAlign w:val="bottom"/>
            <w:shd w:val="clear" w:color="auto" w:fill="D9BA05"/>
          </w:tcPr>
          <w:p>
            <w:pPr>
              <w:spacing w:after="0" w:line="20" w:lineRule="exact"/>
              <w:rPr>
                <w:sz w:val="1"/>
                <w:szCs w:val="1"/>
                <w:color w:val="auto"/>
              </w:rPr>
            </w:pPr>
          </w:p>
        </w:tc>
        <w:tc>
          <w:tcPr>
            <w:tcW w:w="1220" w:type="dxa"/>
            <w:vAlign w:val="bottom"/>
            <w:shd w:val="clear" w:color="auto" w:fill="D9BA05"/>
          </w:tcPr>
          <w:p>
            <w:pPr>
              <w:spacing w:after="0" w:line="20" w:lineRule="exact"/>
              <w:rPr>
                <w:sz w:val="1"/>
                <w:szCs w:val="1"/>
                <w:color w:val="auto"/>
              </w:rPr>
            </w:pPr>
          </w:p>
        </w:tc>
      </w:tr>
    </w:tbl>
    <w:p>
      <w:pPr>
        <w:spacing w:after="0" w:line="77" w:lineRule="exact"/>
        <w:rPr>
          <w:sz w:val="20"/>
          <w:szCs w:val="20"/>
          <w:color w:val="auto"/>
        </w:rPr>
      </w:pPr>
    </w:p>
    <w:p>
      <w:pPr>
        <w:ind w:left="340" w:hanging="334"/>
        <w:spacing w:after="0" w:line="233" w:lineRule="auto"/>
        <w:tabs>
          <w:tab w:leader="none" w:pos="340" w:val="left"/>
        </w:tabs>
        <w:numPr>
          <w:ilvl w:val="0"/>
          <w:numId w:val="26"/>
        </w:numPr>
        <w:rPr>
          <w:rFonts w:ascii="Arial" w:cs="Arial" w:eastAsia="Arial" w:hAnsi="Arial"/>
          <w:sz w:val="13"/>
          <w:szCs w:val="13"/>
          <w:color w:val="333333"/>
        </w:rPr>
      </w:pPr>
      <w:r>
        <w:rPr>
          <w:rFonts w:ascii="Arial" w:cs="Arial" w:eastAsia="Arial" w:hAnsi="Arial"/>
          <w:sz w:val="13"/>
          <w:szCs w:val="13"/>
          <w:color w:val="333333"/>
        </w:rPr>
        <w:t>The amounts reported in column (b) above are also reported as compensation to the NEO in columns (c), (d) and/or (g) of the SUMMARY COMPENSATION TABLE above. The amounts reported in column (c) above are also reported as compensation to the NEO in column (i) of the SUMMARY COMPENSATION TABLE above.</w:t>
      </w:r>
    </w:p>
    <w:p>
      <w:pPr>
        <w:spacing w:after="0" w:line="64" w:lineRule="exact"/>
        <w:rPr>
          <w:rFonts w:ascii="Arial" w:cs="Arial" w:eastAsia="Arial" w:hAnsi="Arial"/>
          <w:sz w:val="13"/>
          <w:szCs w:val="13"/>
          <w:color w:val="333333"/>
        </w:rPr>
      </w:pPr>
    </w:p>
    <w:p>
      <w:pPr>
        <w:ind w:left="340" w:right="440" w:hanging="334"/>
        <w:spacing w:after="0" w:line="243" w:lineRule="auto"/>
        <w:tabs>
          <w:tab w:leader="none" w:pos="340" w:val="left"/>
        </w:tabs>
        <w:numPr>
          <w:ilvl w:val="0"/>
          <w:numId w:val="26"/>
        </w:numPr>
        <w:rPr>
          <w:rFonts w:ascii="Arial" w:cs="Arial" w:eastAsia="Arial" w:hAnsi="Arial"/>
          <w:sz w:val="13"/>
          <w:szCs w:val="13"/>
          <w:color w:val="333333"/>
        </w:rPr>
      </w:pPr>
      <w:r>
        <w:rPr>
          <w:rFonts w:ascii="Arial" w:cs="Arial" w:eastAsia="Arial" w:hAnsi="Arial"/>
          <w:sz w:val="13"/>
          <w:szCs w:val="13"/>
          <w:color w:val="333333"/>
        </w:rPr>
        <w:t>These amounts are not required to be reported as compensation in the Summary Compensation Table for fiscal 2026 because there were no above-market earnings on the deferred compensation.</w:t>
      </w:r>
    </w:p>
    <w:p>
      <w:pPr>
        <w:spacing w:after="0" w:line="48" w:lineRule="exact"/>
        <w:rPr>
          <w:rFonts w:ascii="Arial" w:cs="Arial" w:eastAsia="Arial" w:hAnsi="Arial"/>
          <w:sz w:val="13"/>
          <w:szCs w:val="13"/>
          <w:color w:val="333333"/>
        </w:rPr>
      </w:pPr>
    </w:p>
    <w:p>
      <w:pPr>
        <w:ind w:left="340" w:right="40" w:hanging="334"/>
        <w:spacing w:after="0" w:line="243" w:lineRule="auto"/>
        <w:tabs>
          <w:tab w:leader="none" w:pos="340" w:val="left"/>
        </w:tabs>
        <w:numPr>
          <w:ilvl w:val="0"/>
          <w:numId w:val="26"/>
        </w:numPr>
        <w:rPr>
          <w:rFonts w:ascii="Arial" w:cs="Arial" w:eastAsia="Arial" w:hAnsi="Arial"/>
          <w:sz w:val="13"/>
          <w:szCs w:val="13"/>
          <w:color w:val="333333"/>
        </w:rPr>
      </w:pPr>
      <w:r>
        <w:rPr>
          <w:rFonts w:ascii="Arial" w:cs="Arial" w:eastAsia="Arial" w:hAnsi="Arial"/>
          <w:sz w:val="13"/>
          <w:szCs w:val="13"/>
          <w:color w:val="333333"/>
        </w:rPr>
        <w:t>The amounts reported in column (f), other than earnings on deferred compensation, have been previously disclosed in Summary Compensation Tables in our prior proxy statements.</w:t>
      </w:r>
    </w:p>
    <w:p>
      <w:pPr>
        <w:spacing w:after="0" w:line="13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A participant’s compensation deferrals and any earnings on those deferrals are immediately vested. Company matching contributions and any discretionary contributions vest at the rate of 20% per year so long as the participant remains employed by the Company. A participant who attains the age of 65 or whose employment terminates due to death or disability automatically vests in all amounts in such participant’s account. A participant may also vest in all amounts credited to his or her account upon their “separation from service” as defined under Code Section 409A and the Treasury Regulations promulgated thereunder after attaining the age of 55, provided the participant has been employed by the Company or one of the Company’s affiliates for at least 10 years and further subject to the approval of the Compensation and Human Capital Committee, including any limitations or conditions such committee may, in its discretion, impose which are not inconsistent with the terms of the DCP (including, without limitation, a covenant not to compete with the Company or any Company affiliate). A participant whose employment terminates for any other reason forfeits unvested amounts. If there is a “change in control” (as defined in the DCP) of the Company, all amounts attributable to matching contributions and discretionary Company contributions become fully vested on the date of such change in control.</w:t>
      </w:r>
    </w:p>
    <w:p>
      <w:pPr>
        <w:spacing w:after="0" w:line="13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Participants may direct the investment of amounts in their accounts (other than rights to receive Common Stock) among third-party investment funds that largely track the funds offered under the 401(k) Plan.</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Participants in the DCP elect as part of their initial deferral election to receive distributions in a lump sum or in 10 equal annual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installments. Payments are made in Common Stock to the extent a participant’s vested account balance is denominated 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Common Stock, except for any fractional shares which are paid in cash. All other payments are made in cash. Payments generally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are made or begin only upon the expiration of six months following the participant’s separation of service from the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except to the extent that the payments are payable during the short-term deferral period set forth in Treasury Regulation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Section 1.409A-1(b)(4). In the event that an exception to the six-month delay provision applies, payments are made or begin within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90 days after a participant’s employment terminates.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Movado Group, Inc.        33</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ind w:right="1100"/>
        <w:spacing w:after="0" w:line="269" w:lineRule="auto"/>
        <w:rPr>
          <w:sz w:val="20"/>
          <w:szCs w:val="20"/>
          <w:color w:val="auto"/>
        </w:rPr>
      </w:pPr>
      <w:r>
        <w:rPr>
          <w:rFonts w:ascii="Arial" w:cs="Arial" w:eastAsia="Arial" w:hAnsi="Arial"/>
          <w:sz w:val="36"/>
          <w:szCs w:val="36"/>
          <w:b w:val="1"/>
          <w:bCs w:val="1"/>
          <w:color w:val="auto"/>
        </w:rPr>
        <w:t>Potential Payments on Termination or Change in Control</w:t>
      </w:r>
    </w:p>
    <w:p>
      <w:pPr>
        <w:spacing w:after="0" w:line="254" w:lineRule="auto"/>
        <w:rPr>
          <w:sz w:val="20"/>
          <w:szCs w:val="20"/>
          <w:color w:val="auto"/>
        </w:rPr>
      </w:pPr>
      <w:r>
        <w:rPr>
          <w:rFonts w:ascii="Arial" w:cs="Arial" w:eastAsia="Arial" w:hAnsi="Arial"/>
          <w:sz w:val="16"/>
          <w:szCs w:val="16"/>
          <w:color w:val="auto"/>
        </w:rPr>
        <w:t>None of the NEOs have employment agreements or severance agreements. However, the DCP and awards granted under the Stock Plan prior to fiscal year 2024 provide for accelerated vesting of Company matching contributions and of equity compensation (stock options and stock awards), respectively, in the event of a change in control. Starting in fiscal 2024, awards granted under the Stock Plan provide for accelerated vesting in connection with a change in control only if the grantee’s employment is terminated without cause during the two years immediately following the change in control. The Stock Plan also provides for accelerated vesting of equity awards in the event of a participant’s death, disability or retirement.</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Change in Control</w:t>
      </w:r>
    </w:p>
    <w:p>
      <w:pPr>
        <w:spacing w:after="0" w:line="34"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In the event of a change in control of the Company, all unvested matching contributions under the DCP and all unvested equity awards granted prior to fiscal year 2024 then outstanding under the Stock Plan immediately vest. In addition, in the event a grantee’s employment is terminated without cause during the two years immediately following a change in control, all unvested equity awards granted in fiscal year 2024 or later and then outstanding under the Stock Plan immediately vest, with the Compensation and Human Capital Committee determining in its discretion the number of shares earned in respect of PSUs (but capped at the number of shares that would be earned at maximum performance).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Both the Stock Plan and the DCP have identical definitions for what is considered a “change in control,” including:</w:t>
      </w:r>
    </w:p>
    <w:p>
      <w:pPr>
        <w:spacing w:after="0" w:line="167" w:lineRule="exact"/>
        <w:rPr>
          <w:sz w:val="20"/>
          <w:szCs w:val="20"/>
          <w:color w:val="auto"/>
        </w:rPr>
      </w:pPr>
    </w:p>
    <w:p>
      <w:pPr>
        <w:ind w:left="660" w:right="600" w:hanging="330"/>
        <w:spacing w:after="0" w:line="286"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irrevocable termination and liquidation of the plan within 12 months of the dissolution of the Company taxed under Section 331 of the Internal Revenue Code or with the approval of a bankruptcy court;</w:t>
      </w:r>
    </w:p>
    <w:p>
      <w:pPr>
        <w:spacing w:after="0" w:line="101" w:lineRule="exact"/>
        <w:rPr>
          <w:rFonts w:ascii="Arial" w:cs="Arial" w:eastAsia="Arial" w:hAnsi="Arial"/>
          <w:sz w:val="16"/>
          <w:szCs w:val="16"/>
          <w:color w:val="auto"/>
        </w:rPr>
      </w:pPr>
    </w:p>
    <w:p>
      <w:pPr>
        <w:ind w:left="660" w:hanging="330"/>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sale of substantially all of the Company’s business or assets;</w:t>
      </w:r>
    </w:p>
    <w:p>
      <w:pPr>
        <w:spacing w:after="0" w:line="167" w:lineRule="exact"/>
        <w:rPr>
          <w:rFonts w:ascii="Arial" w:cs="Arial" w:eastAsia="Arial" w:hAnsi="Arial"/>
          <w:sz w:val="16"/>
          <w:szCs w:val="16"/>
          <w:color w:val="auto"/>
        </w:rPr>
      </w:pPr>
    </w:p>
    <w:p>
      <w:pPr>
        <w:ind w:left="660" w:right="20" w:hanging="330"/>
        <w:spacing w:after="0" w:line="256"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change in the composition of the Board of Directors such that the individuals comprising the Board of Directors on the effective date of the Stock Plan (or DCP, as applicable) (or their successors who were approved by at least two-thirds of the directors then on the Board) cease for any 12 month period to constitute a majority of the Board, exclusive, in any event, of any individual initially elected or nominated as a director as a result of an actual or threatened election contest or actual or threatened proxy solicitation by any person other than the Board;</w:t>
      </w:r>
    </w:p>
    <w:p>
      <w:pPr>
        <w:spacing w:after="0" w:line="125" w:lineRule="exact"/>
        <w:rPr>
          <w:rFonts w:ascii="Arial" w:cs="Arial" w:eastAsia="Arial" w:hAnsi="Arial"/>
          <w:sz w:val="16"/>
          <w:szCs w:val="16"/>
          <w:color w:val="auto"/>
        </w:rPr>
      </w:pPr>
    </w:p>
    <w:p>
      <w:pPr>
        <w:ind w:left="660" w:right="20" w:hanging="330"/>
        <w:spacing w:after="0" w:line="256"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merger, consolidation, reorganization or similar corporate transaction unless shareholders in the Company immediately before any such transaction control at least 50% of the total voting power in the resulting corporation immediately after any such transaction; and no person (meaning an individual, entity or group acting in concert) acquires at least 20% of the voting power in the resulting corporation; and a majority of the members of the Board of Directors after the transaction were Board members immediately before the transaction; and</w:t>
      </w:r>
    </w:p>
    <w:p>
      <w:pPr>
        <w:spacing w:after="0" w:line="125" w:lineRule="exact"/>
        <w:rPr>
          <w:rFonts w:ascii="Arial" w:cs="Arial" w:eastAsia="Arial" w:hAnsi="Arial"/>
          <w:sz w:val="16"/>
          <w:szCs w:val="16"/>
          <w:color w:val="auto"/>
        </w:rPr>
      </w:pPr>
    </w:p>
    <w:p>
      <w:pPr>
        <w:ind w:left="660" w:right="240" w:hanging="330"/>
        <w:spacing w:after="0" w:line="286"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acquisition by any person (with certain exceptions) of 30% or more of the combined voting power of the Company’s outstanding voting securities.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Movado Group, Inc.        34</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ind w:right="380"/>
        <w:spacing w:after="0" w:line="266" w:lineRule="auto"/>
        <w:rPr>
          <w:sz w:val="20"/>
          <w:szCs w:val="20"/>
          <w:color w:val="auto"/>
        </w:rPr>
      </w:pPr>
      <w:r>
        <w:rPr>
          <w:rFonts w:ascii="Arial" w:cs="Arial" w:eastAsia="Arial" w:hAnsi="Arial"/>
          <w:sz w:val="16"/>
          <w:szCs w:val="16"/>
          <w:color w:val="auto"/>
        </w:rPr>
        <w:t>The following table shows the value of accelerated vesting of stock options and stock awards under the Stock Plan and of Company contributions under the DCP that would have been provided to the NEOs in the event that a change in control of the Company had occurred immediately after the close of business on January 31, 2026.</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160" w:type="dxa"/>
            <w:vAlign w:val="bottom"/>
          </w:tcPr>
          <w:p>
            <w:pPr>
              <w:jc w:val="right"/>
              <w:ind w:right="94"/>
              <w:spacing w:after="0"/>
              <w:rPr>
                <w:sz w:val="20"/>
                <w:szCs w:val="20"/>
                <w:color w:val="auto"/>
              </w:rPr>
            </w:pPr>
            <w:r>
              <w:rPr>
                <w:rFonts w:ascii="Arial" w:cs="Arial" w:eastAsia="Arial" w:hAnsi="Arial"/>
                <w:sz w:val="13"/>
                <w:szCs w:val="13"/>
                <w:b w:val="1"/>
                <w:bCs w:val="1"/>
                <w:color w:val="auto"/>
              </w:rPr>
              <w:t>ADDITIONAL VESTING</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160" w:type="dxa"/>
            <w:vAlign w:val="bottom"/>
          </w:tcPr>
          <w:p>
            <w:pPr>
              <w:jc w:val="right"/>
              <w:ind w:right="94"/>
              <w:spacing w:after="0" w:line="135" w:lineRule="exact"/>
              <w:rPr>
                <w:sz w:val="20"/>
                <w:szCs w:val="20"/>
                <w:color w:val="auto"/>
              </w:rPr>
            </w:pPr>
            <w:r>
              <w:rPr>
                <w:rFonts w:ascii="Arial" w:cs="Arial" w:eastAsia="Arial" w:hAnsi="Arial"/>
                <w:sz w:val="13"/>
                <w:szCs w:val="13"/>
                <w:b w:val="1"/>
                <w:bCs w:val="1"/>
                <w:color w:val="auto"/>
              </w:rPr>
              <w:t>UPON CHANGE IN</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2160" w:type="dxa"/>
            <w:vAlign w:val="bottom"/>
          </w:tcPr>
          <w:p>
            <w:pPr>
              <w:jc w:val="right"/>
              <w:ind w:right="94"/>
              <w:spacing w:after="0" w:line="135" w:lineRule="exact"/>
              <w:rPr>
                <w:sz w:val="20"/>
                <w:szCs w:val="20"/>
                <w:color w:val="auto"/>
              </w:rPr>
            </w:pPr>
            <w:r>
              <w:rPr>
                <w:rFonts w:ascii="Arial" w:cs="Arial" w:eastAsia="Arial" w:hAnsi="Arial"/>
                <w:sz w:val="13"/>
                <w:szCs w:val="13"/>
                <w:b w:val="1"/>
                <w:bCs w:val="1"/>
                <w:color w:val="auto"/>
              </w:rPr>
              <w:t>CONTROL WITH</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080" w:type="dxa"/>
            <w:vAlign w:val="bottom"/>
            <w:vMerge w:val="restart"/>
          </w:tcPr>
          <w:p>
            <w:pPr>
              <w:jc w:val="right"/>
              <w:ind w:right="192"/>
              <w:spacing w:after="0"/>
              <w:rPr>
                <w:sz w:val="20"/>
                <w:szCs w:val="20"/>
                <w:color w:val="auto"/>
              </w:rPr>
            </w:pPr>
            <w:r>
              <w:rPr>
                <w:rFonts w:ascii="Arial" w:cs="Arial" w:eastAsia="Arial" w:hAnsi="Arial"/>
                <w:sz w:val="13"/>
                <w:szCs w:val="13"/>
                <w:b w:val="1"/>
                <w:bCs w:val="1"/>
                <w:color w:val="auto"/>
              </w:rPr>
              <w:t>VESTING UPON CHANGE IN CONTROL</w:t>
            </w:r>
          </w:p>
        </w:tc>
        <w:tc>
          <w:tcPr>
            <w:tcW w:w="2300" w:type="dxa"/>
            <w:vAlign w:val="bottom"/>
          </w:tcPr>
          <w:p>
            <w:pPr>
              <w:spacing w:after="0"/>
              <w:rPr>
                <w:sz w:val="11"/>
                <w:szCs w:val="11"/>
                <w:color w:val="auto"/>
              </w:rPr>
            </w:pPr>
          </w:p>
        </w:tc>
        <w:tc>
          <w:tcPr>
            <w:tcW w:w="2160" w:type="dxa"/>
            <w:vAlign w:val="bottom"/>
          </w:tcPr>
          <w:p>
            <w:pPr>
              <w:jc w:val="right"/>
              <w:ind w:right="94"/>
              <w:spacing w:after="0" w:line="135" w:lineRule="exact"/>
              <w:rPr>
                <w:sz w:val="20"/>
                <w:szCs w:val="20"/>
                <w:color w:val="auto"/>
              </w:rPr>
            </w:pPr>
            <w:r>
              <w:rPr>
                <w:rFonts w:ascii="Arial" w:cs="Arial" w:eastAsia="Arial" w:hAnsi="Arial"/>
                <w:sz w:val="13"/>
                <w:szCs w:val="13"/>
                <w:b w:val="1"/>
                <w:bCs w:val="1"/>
                <w:color w:val="auto"/>
              </w:rPr>
              <w:t>TERMINATION OF</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080" w:type="dxa"/>
            <w:vAlign w:val="bottom"/>
            <w:vMerge w:val="continue"/>
          </w:tcPr>
          <w:p>
            <w:pPr>
              <w:spacing w:after="0"/>
              <w:rPr>
                <w:sz w:val="14"/>
                <w:szCs w:val="14"/>
                <w:color w:val="auto"/>
              </w:rPr>
            </w:pPr>
          </w:p>
        </w:tc>
        <w:tc>
          <w:tcPr>
            <w:tcW w:w="2300" w:type="dxa"/>
            <w:vAlign w:val="bottom"/>
          </w:tcPr>
          <w:p>
            <w:pPr>
              <w:spacing w:after="0"/>
              <w:rPr>
                <w:sz w:val="14"/>
                <w:szCs w:val="14"/>
                <w:color w:val="auto"/>
              </w:rPr>
            </w:pPr>
          </w:p>
        </w:tc>
        <w:tc>
          <w:tcPr>
            <w:tcW w:w="2160" w:type="dxa"/>
            <w:vAlign w:val="bottom"/>
          </w:tcPr>
          <w:p>
            <w:pPr>
              <w:jc w:val="right"/>
              <w:ind w:right="54"/>
              <w:spacing w:after="0"/>
              <w:rPr>
                <w:sz w:val="20"/>
                <w:szCs w:val="20"/>
                <w:color w:val="auto"/>
              </w:rPr>
            </w:pPr>
            <w:r>
              <w:rPr>
                <w:rFonts w:ascii="Arial" w:cs="Arial" w:eastAsia="Arial" w:hAnsi="Arial"/>
                <w:sz w:val="13"/>
                <w:szCs w:val="13"/>
                <w:b w:val="1"/>
                <w:bCs w:val="1"/>
                <w:color w:val="auto"/>
              </w:rPr>
              <w:t>EMPLOYMENT</w:t>
            </w:r>
          </w:p>
        </w:tc>
        <w:tc>
          <w:tcPr>
            <w:tcW w:w="0" w:type="dxa"/>
            <w:vAlign w:val="bottom"/>
          </w:tcPr>
          <w:p>
            <w:pPr>
              <w:spacing w:after="0"/>
              <w:rPr>
                <w:sz w:val="1"/>
                <w:szCs w:val="1"/>
                <w:color w:val="auto"/>
              </w:rPr>
            </w:pPr>
          </w:p>
        </w:tc>
      </w:tr>
      <w:tr>
        <w:trPr>
          <w:trHeight w:val="62"/>
        </w:trPr>
        <w:tc>
          <w:tcPr>
            <w:tcW w:w="120" w:type="dxa"/>
            <w:vAlign w:val="bottom"/>
            <w:tcBorders>
              <w:bottom w:val="single" w:sz="8" w:color="D9BA05"/>
            </w:tcBorders>
          </w:tcPr>
          <w:p>
            <w:pPr>
              <w:spacing w:after="0"/>
              <w:rPr>
                <w:sz w:val="5"/>
                <w:szCs w:val="5"/>
                <w:color w:val="auto"/>
              </w:rPr>
            </w:pPr>
          </w:p>
        </w:tc>
        <w:tc>
          <w:tcPr>
            <w:tcW w:w="1740" w:type="dxa"/>
            <w:vAlign w:val="bottom"/>
            <w:tcBorders>
              <w:bottom w:val="single" w:sz="8" w:color="D9BA05"/>
            </w:tcBorders>
          </w:tcPr>
          <w:p>
            <w:pPr>
              <w:spacing w:after="0"/>
              <w:rPr>
                <w:sz w:val="5"/>
                <w:szCs w:val="5"/>
                <w:color w:val="auto"/>
              </w:rPr>
            </w:pPr>
          </w:p>
        </w:tc>
        <w:tc>
          <w:tcPr>
            <w:tcW w:w="3080" w:type="dxa"/>
            <w:vAlign w:val="bottom"/>
            <w:tcBorders>
              <w:bottom w:val="single" w:sz="8" w:color="D9BA05"/>
            </w:tcBorders>
          </w:tcPr>
          <w:p>
            <w:pPr>
              <w:spacing w:after="0"/>
              <w:rPr>
                <w:sz w:val="5"/>
                <w:szCs w:val="5"/>
                <w:color w:val="auto"/>
              </w:rPr>
            </w:pPr>
          </w:p>
        </w:tc>
        <w:tc>
          <w:tcPr>
            <w:tcW w:w="2300" w:type="dxa"/>
            <w:vAlign w:val="bottom"/>
            <w:tcBorders>
              <w:bottom w:val="single" w:sz="8" w:color="D9BA05"/>
            </w:tcBorders>
          </w:tcPr>
          <w:p>
            <w:pPr>
              <w:spacing w:after="0"/>
              <w:rPr>
                <w:sz w:val="5"/>
                <w:szCs w:val="5"/>
                <w:color w:val="auto"/>
              </w:rPr>
            </w:pPr>
          </w:p>
        </w:tc>
        <w:tc>
          <w:tcPr>
            <w:tcW w:w="2160" w:type="dxa"/>
            <w:vAlign w:val="bottom"/>
            <w:tcBorders>
              <w:bottom w:val="single" w:sz="8" w:color="D9BA05"/>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080" w:type="dxa"/>
            <w:vAlign w:val="bottom"/>
          </w:tcPr>
          <w:p>
            <w:pPr>
              <w:jc w:val="right"/>
              <w:ind w:right="392"/>
              <w:spacing w:after="0"/>
              <w:rPr>
                <w:sz w:val="20"/>
                <w:szCs w:val="20"/>
                <w:color w:val="auto"/>
              </w:rPr>
            </w:pPr>
            <w:r>
              <w:rPr>
                <w:rFonts w:ascii="Arial" w:cs="Arial" w:eastAsia="Arial" w:hAnsi="Arial"/>
                <w:sz w:val="13"/>
                <w:szCs w:val="13"/>
                <w:b w:val="1"/>
                <w:bCs w:val="1"/>
                <w:color w:val="auto"/>
              </w:rPr>
              <w:t>EARLY VESTING OF DEFERRED</w:t>
            </w:r>
          </w:p>
        </w:tc>
        <w:tc>
          <w:tcPr>
            <w:tcW w:w="2300" w:type="dxa"/>
            <w:vAlign w:val="bottom"/>
          </w:tcPr>
          <w:p>
            <w:pPr>
              <w:jc w:val="right"/>
              <w:ind w:right="293"/>
              <w:spacing w:after="0"/>
              <w:rPr>
                <w:sz w:val="20"/>
                <w:szCs w:val="20"/>
                <w:color w:val="auto"/>
              </w:rPr>
            </w:pPr>
            <w:r>
              <w:rPr>
                <w:rFonts w:ascii="Arial" w:cs="Arial" w:eastAsia="Arial" w:hAnsi="Arial"/>
                <w:sz w:val="13"/>
                <w:szCs w:val="13"/>
                <w:b w:val="1"/>
                <w:bCs w:val="1"/>
                <w:color w:val="auto"/>
              </w:rPr>
              <w:t>EARLY VESTING OF STOCK</w:t>
            </w:r>
          </w:p>
        </w:tc>
        <w:tc>
          <w:tcPr>
            <w:tcW w:w="2160" w:type="dxa"/>
            <w:vAlign w:val="bottom"/>
          </w:tcPr>
          <w:p>
            <w:pPr>
              <w:jc w:val="right"/>
              <w:ind w:right="54"/>
              <w:spacing w:after="0"/>
              <w:rPr>
                <w:sz w:val="20"/>
                <w:szCs w:val="20"/>
                <w:color w:val="auto"/>
              </w:rPr>
            </w:pPr>
            <w:r>
              <w:rPr>
                <w:rFonts w:ascii="Arial" w:cs="Arial" w:eastAsia="Arial" w:hAnsi="Arial"/>
                <w:sz w:val="13"/>
                <w:szCs w:val="13"/>
                <w:b w:val="1"/>
                <w:bCs w:val="1"/>
                <w:color w:val="auto"/>
              </w:rPr>
              <w:t>EARLY VESTING OF STOCK</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17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NAME</w:t>
            </w:r>
          </w:p>
        </w:tc>
        <w:tc>
          <w:tcPr>
            <w:tcW w:w="3080" w:type="dxa"/>
            <w:vAlign w:val="bottom"/>
          </w:tcPr>
          <w:p>
            <w:pPr>
              <w:jc w:val="right"/>
              <w:ind w:right="412"/>
              <w:spacing w:after="0" w:line="135" w:lineRule="exact"/>
              <w:rPr>
                <w:sz w:val="20"/>
                <w:szCs w:val="20"/>
                <w:color w:val="auto"/>
              </w:rPr>
            </w:pPr>
            <w:r>
              <w:rPr>
                <w:rFonts w:ascii="Arial" w:cs="Arial" w:eastAsia="Arial" w:hAnsi="Arial"/>
                <w:sz w:val="13"/>
                <w:szCs w:val="13"/>
                <w:b w:val="1"/>
                <w:bCs w:val="1"/>
                <w:color w:val="auto"/>
              </w:rPr>
              <w:t>COMPENSATION PLAN</w:t>
            </w:r>
          </w:p>
        </w:tc>
        <w:tc>
          <w:tcPr>
            <w:tcW w:w="2300" w:type="dxa"/>
            <w:vAlign w:val="bottom"/>
          </w:tcPr>
          <w:p>
            <w:pPr>
              <w:jc w:val="right"/>
              <w:ind w:right="333"/>
              <w:spacing w:after="0" w:line="135" w:lineRule="exact"/>
              <w:rPr>
                <w:sz w:val="20"/>
                <w:szCs w:val="20"/>
                <w:color w:val="auto"/>
              </w:rPr>
            </w:pPr>
            <w:r>
              <w:rPr>
                <w:rFonts w:ascii="Arial" w:cs="Arial" w:eastAsia="Arial" w:hAnsi="Arial"/>
                <w:sz w:val="13"/>
                <w:szCs w:val="13"/>
                <w:b w:val="1"/>
                <w:bCs w:val="1"/>
                <w:color w:val="auto"/>
              </w:rPr>
              <w:t>OPTIONS</w:t>
            </w:r>
          </w:p>
        </w:tc>
        <w:tc>
          <w:tcPr>
            <w:tcW w:w="2160" w:type="dxa"/>
            <w:vAlign w:val="bottom"/>
          </w:tcPr>
          <w:p>
            <w:pPr>
              <w:jc w:val="right"/>
              <w:ind w:right="94"/>
              <w:spacing w:after="0" w:line="135" w:lineRule="exact"/>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740" w:type="dxa"/>
            <w:vAlign w:val="bottom"/>
            <w:vMerge w:val="continue"/>
          </w:tcPr>
          <w:p>
            <w:pPr>
              <w:spacing w:after="0"/>
              <w:rPr>
                <w:sz w:val="21"/>
                <w:szCs w:val="21"/>
                <w:color w:val="auto"/>
              </w:rPr>
            </w:pPr>
          </w:p>
        </w:tc>
        <w:tc>
          <w:tcPr>
            <w:tcW w:w="3080" w:type="dxa"/>
            <w:vAlign w:val="bottom"/>
          </w:tcPr>
          <w:p>
            <w:pPr>
              <w:jc w:val="right"/>
              <w:ind w:right="392"/>
              <w:spacing w:after="0"/>
              <w:rPr>
                <w:sz w:val="20"/>
                <w:szCs w:val="20"/>
                <w:color w:val="auto"/>
              </w:rPr>
            </w:pPr>
            <w:r>
              <w:rPr>
                <w:rFonts w:ascii="Arial" w:cs="Arial" w:eastAsia="Arial" w:hAnsi="Arial"/>
                <w:sz w:val="13"/>
                <w:szCs w:val="13"/>
                <w:b w:val="1"/>
                <w:bCs w:val="1"/>
                <w:color w:val="auto"/>
              </w:rPr>
              <w:t>($)</w:t>
            </w:r>
          </w:p>
        </w:tc>
        <w:tc>
          <w:tcPr>
            <w:tcW w:w="2300" w:type="dxa"/>
            <w:vAlign w:val="bottom"/>
          </w:tcPr>
          <w:p>
            <w:pPr>
              <w:jc w:val="right"/>
              <w:ind w:right="293"/>
              <w:spacing w:after="0" w:line="242"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(1)</w:t>
            </w:r>
          </w:p>
        </w:tc>
        <w:tc>
          <w:tcPr>
            <w:tcW w:w="2160" w:type="dxa"/>
            <w:vAlign w:val="bottom"/>
          </w:tcPr>
          <w:p>
            <w:pPr>
              <w:jc w:val="right"/>
              <w:ind w:right="54"/>
              <w:spacing w:after="0" w:line="242"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(2)(3)</w:t>
            </w:r>
          </w:p>
        </w:tc>
        <w:tc>
          <w:tcPr>
            <w:tcW w:w="0" w:type="dxa"/>
            <w:vAlign w:val="bottom"/>
          </w:tcPr>
          <w:p>
            <w:pPr>
              <w:spacing w:after="0"/>
              <w:rPr>
                <w:sz w:val="1"/>
                <w:szCs w:val="1"/>
                <w:color w:val="auto"/>
              </w:rPr>
            </w:pPr>
          </w:p>
        </w:tc>
      </w:tr>
      <w:tr>
        <w:trPr>
          <w:trHeight w:val="351"/>
        </w:trPr>
        <w:tc>
          <w:tcPr>
            <w:tcW w:w="120" w:type="dxa"/>
            <w:vAlign w:val="bottom"/>
            <w:shd w:val="clear" w:color="auto" w:fill="E6E6E6"/>
          </w:tcPr>
          <w:p>
            <w:pPr>
              <w:spacing w:after="0"/>
              <w:rPr>
                <w:sz w:val="24"/>
                <w:szCs w:val="24"/>
                <w:color w:val="auto"/>
              </w:rPr>
            </w:pPr>
          </w:p>
        </w:tc>
        <w:tc>
          <w:tcPr>
            <w:tcW w:w="1740" w:type="dxa"/>
            <w:vAlign w:val="bottom"/>
            <w:shd w:val="clear" w:color="auto" w:fill="E6E6E6"/>
          </w:tcPr>
          <w:p>
            <w:pPr>
              <w:ind w:left="40"/>
              <w:spacing w:after="0"/>
              <w:rPr>
                <w:sz w:val="20"/>
                <w:szCs w:val="20"/>
                <w:color w:val="auto"/>
              </w:rPr>
            </w:pPr>
            <w:r>
              <w:rPr>
                <w:rFonts w:ascii="Arial" w:cs="Arial" w:eastAsia="Arial" w:hAnsi="Arial"/>
                <w:sz w:val="14"/>
                <w:szCs w:val="14"/>
                <w:b w:val="1"/>
                <w:bCs w:val="1"/>
                <w:color w:val="auto"/>
              </w:rPr>
              <w:t>Efraim Grinberg</w:t>
            </w:r>
            <w:r>
              <w:rPr>
                <w:rFonts w:ascii="Arial" w:cs="Arial" w:eastAsia="Arial" w:hAnsi="Arial"/>
                <w:sz w:val="23"/>
                <w:szCs w:val="23"/>
                <w:b w:val="1"/>
                <w:bCs w:val="1"/>
                <w:color w:val="auto"/>
                <w:vertAlign w:val="superscript"/>
              </w:rPr>
              <w:t>(4)</w:t>
            </w:r>
          </w:p>
        </w:tc>
        <w:tc>
          <w:tcPr>
            <w:tcW w:w="3080" w:type="dxa"/>
            <w:vAlign w:val="bottom"/>
            <w:shd w:val="clear" w:color="auto" w:fill="E6E6E6"/>
          </w:tcPr>
          <w:p>
            <w:pPr>
              <w:jc w:val="right"/>
              <w:ind w:right="392"/>
              <w:spacing w:after="0"/>
              <w:rPr>
                <w:sz w:val="20"/>
                <w:szCs w:val="20"/>
                <w:color w:val="auto"/>
              </w:rPr>
            </w:pPr>
            <w:r>
              <w:rPr>
                <w:rFonts w:ascii="Arial" w:cs="Arial" w:eastAsia="Arial" w:hAnsi="Arial"/>
                <w:sz w:val="14"/>
                <w:szCs w:val="14"/>
                <w:color w:val="auto"/>
              </w:rPr>
              <w:t>—</w:t>
            </w:r>
          </w:p>
        </w:tc>
        <w:tc>
          <w:tcPr>
            <w:tcW w:w="2300" w:type="dxa"/>
            <w:vAlign w:val="bottom"/>
            <w:shd w:val="clear" w:color="auto" w:fill="E6E6E6"/>
          </w:tcPr>
          <w:p>
            <w:pPr>
              <w:jc w:val="right"/>
              <w:ind w:right="293"/>
              <w:spacing w:after="0"/>
              <w:rPr>
                <w:sz w:val="20"/>
                <w:szCs w:val="20"/>
                <w:color w:val="auto"/>
              </w:rPr>
            </w:pPr>
            <w:r>
              <w:rPr>
                <w:rFonts w:ascii="Arial" w:cs="Arial" w:eastAsia="Arial" w:hAnsi="Arial"/>
                <w:sz w:val="14"/>
                <w:szCs w:val="14"/>
                <w:color w:val="auto"/>
              </w:rPr>
              <w:t>—</w:t>
            </w:r>
          </w:p>
        </w:tc>
        <w:tc>
          <w:tcPr>
            <w:tcW w:w="2160" w:type="dxa"/>
            <w:vAlign w:val="bottom"/>
            <w:shd w:val="clear" w:color="auto" w:fill="E6E6E6"/>
          </w:tcPr>
          <w:p>
            <w:pPr>
              <w:jc w:val="right"/>
              <w:ind w:right="5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1740" w:type="dxa"/>
            <w:vAlign w:val="bottom"/>
          </w:tcPr>
          <w:p>
            <w:pPr>
              <w:ind w:left="40"/>
              <w:spacing w:after="0"/>
              <w:rPr>
                <w:sz w:val="20"/>
                <w:szCs w:val="20"/>
                <w:color w:val="auto"/>
              </w:rPr>
            </w:pPr>
            <w:r>
              <w:rPr>
                <w:rFonts w:ascii="Arial" w:cs="Arial" w:eastAsia="Arial" w:hAnsi="Arial"/>
                <w:sz w:val="14"/>
                <w:szCs w:val="14"/>
                <w:b w:val="1"/>
                <w:bCs w:val="1"/>
                <w:color w:val="auto"/>
              </w:rPr>
              <w:t>Sallie DeMarsilis</w:t>
            </w:r>
          </w:p>
        </w:tc>
        <w:tc>
          <w:tcPr>
            <w:tcW w:w="3080" w:type="dxa"/>
            <w:vAlign w:val="bottom"/>
          </w:tcPr>
          <w:p>
            <w:pPr>
              <w:jc w:val="right"/>
              <w:ind w:right="392"/>
              <w:spacing w:after="0"/>
              <w:rPr>
                <w:sz w:val="20"/>
                <w:szCs w:val="20"/>
                <w:color w:val="auto"/>
              </w:rPr>
            </w:pPr>
            <w:r>
              <w:rPr>
                <w:rFonts w:ascii="Arial" w:cs="Arial" w:eastAsia="Arial" w:hAnsi="Arial"/>
                <w:sz w:val="14"/>
                <w:szCs w:val="14"/>
                <w:color w:val="auto"/>
              </w:rPr>
              <w:t>158,991</w:t>
            </w:r>
          </w:p>
        </w:tc>
        <w:tc>
          <w:tcPr>
            <w:tcW w:w="230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54"/>
              <w:spacing w:after="0"/>
              <w:rPr>
                <w:sz w:val="20"/>
                <w:szCs w:val="20"/>
                <w:color w:val="auto"/>
              </w:rPr>
            </w:pPr>
            <w:r>
              <w:rPr>
                <w:rFonts w:ascii="Arial" w:cs="Arial" w:eastAsia="Arial" w:hAnsi="Arial"/>
                <w:sz w:val="14"/>
                <w:szCs w:val="14"/>
                <w:color w:val="auto"/>
              </w:rPr>
              <w:t>1,255,368</w:t>
            </w: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30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20" w:type="dxa"/>
            <w:vAlign w:val="bottom"/>
            <w:tcBorders>
              <w:bottom w:val="single" w:sz="8" w:color="E6E6E6"/>
            </w:tcBorders>
            <w:shd w:val="clear" w:color="auto" w:fill="E6E6E6"/>
          </w:tcPr>
          <w:p>
            <w:pPr>
              <w:spacing w:after="0"/>
              <w:rPr>
                <w:sz w:val="24"/>
                <w:szCs w:val="24"/>
                <w:color w:val="auto"/>
              </w:rPr>
            </w:pPr>
          </w:p>
        </w:tc>
        <w:tc>
          <w:tcPr>
            <w:tcW w:w="17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4"/>
                <w:szCs w:val="14"/>
                <w:b w:val="1"/>
                <w:bCs w:val="1"/>
                <w:color w:val="auto"/>
              </w:rPr>
              <w:t>Behzad Soltani</w:t>
            </w:r>
          </w:p>
        </w:tc>
        <w:tc>
          <w:tcPr>
            <w:tcW w:w="3080" w:type="dxa"/>
            <w:vAlign w:val="bottom"/>
            <w:tcBorders>
              <w:bottom w:val="single" w:sz="8" w:color="E6E6E6"/>
            </w:tcBorders>
            <w:shd w:val="clear" w:color="auto" w:fill="E6E6E6"/>
          </w:tcPr>
          <w:p>
            <w:pPr>
              <w:jc w:val="right"/>
              <w:ind w:right="392"/>
              <w:spacing w:after="0"/>
              <w:rPr>
                <w:sz w:val="20"/>
                <w:szCs w:val="20"/>
                <w:color w:val="auto"/>
              </w:rPr>
            </w:pPr>
            <w:r>
              <w:rPr>
                <w:rFonts w:ascii="Arial" w:cs="Arial" w:eastAsia="Arial" w:hAnsi="Arial"/>
                <w:sz w:val="14"/>
                <w:szCs w:val="14"/>
                <w:color w:val="auto"/>
              </w:rPr>
              <w:t>106,332</w:t>
            </w:r>
          </w:p>
        </w:tc>
        <w:tc>
          <w:tcPr>
            <w:tcW w:w="2300" w:type="dxa"/>
            <w:vAlign w:val="bottom"/>
            <w:tcBorders>
              <w:bottom w:val="single" w:sz="8" w:color="E6E6E6"/>
            </w:tcBorders>
            <w:shd w:val="clear" w:color="auto" w:fill="E6E6E6"/>
          </w:tcPr>
          <w:p>
            <w:pPr>
              <w:jc w:val="right"/>
              <w:ind w:right="293"/>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E6E6E6"/>
            </w:tcBorders>
            <w:shd w:val="clear" w:color="auto" w:fill="E6E6E6"/>
          </w:tcPr>
          <w:p>
            <w:pPr>
              <w:jc w:val="right"/>
              <w:ind w:right="54"/>
              <w:spacing w:after="0"/>
              <w:rPr>
                <w:sz w:val="20"/>
                <w:szCs w:val="20"/>
                <w:color w:val="auto"/>
              </w:rPr>
            </w:pPr>
            <w:r>
              <w:rPr>
                <w:rFonts w:ascii="Arial" w:cs="Arial" w:eastAsia="Arial" w:hAnsi="Arial"/>
                <w:sz w:val="14"/>
                <w:szCs w:val="14"/>
                <w:color w:val="auto"/>
              </w:rPr>
              <w:t>1,158,787</w:t>
            </w: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1740" w:type="dxa"/>
            <w:vAlign w:val="bottom"/>
          </w:tcPr>
          <w:p>
            <w:pPr>
              <w:ind w:left="40"/>
              <w:spacing w:after="0"/>
              <w:rPr>
                <w:sz w:val="20"/>
                <w:szCs w:val="20"/>
                <w:color w:val="auto"/>
              </w:rPr>
            </w:pPr>
            <w:r>
              <w:rPr>
                <w:rFonts w:ascii="Arial" w:cs="Arial" w:eastAsia="Arial" w:hAnsi="Arial"/>
                <w:sz w:val="14"/>
                <w:szCs w:val="14"/>
                <w:b w:val="1"/>
                <w:bCs w:val="1"/>
                <w:color w:val="auto"/>
              </w:rPr>
              <w:t>Mitchell Sussis</w:t>
            </w:r>
          </w:p>
        </w:tc>
        <w:tc>
          <w:tcPr>
            <w:tcW w:w="3080" w:type="dxa"/>
            <w:vAlign w:val="bottom"/>
          </w:tcPr>
          <w:p>
            <w:pPr>
              <w:jc w:val="right"/>
              <w:ind w:right="392"/>
              <w:spacing w:after="0"/>
              <w:rPr>
                <w:sz w:val="20"/>
                <w:szCs w:val="20"/>
                <w:color w:val="auto"/>
              </w:rPr>
            </w:pPr>
            <w:r>
              <w:rPr>
                <w:rFonts w:ascii="Arial" w:cs="Arial" w:eastAsia="Arial" w:hAnsi="Arial"/>
                <w:sz w:val="14"/>
                <w:szCs w:val="14"/>
                <w:color w:val="auto"/>
              </w:rPr>
              <w:t>57,529</w:t>
            </w:r>
          </w:p>
        </w:tc>
        <w:tc>
          <w:tcPr>
            <w:tcW w:w="230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54"/>
              <w:spacing w:after="0"/>
              <w:rPr>
                <w:sz w:val="20"/>
                <w:szCs w:val="20"/>
                <w:color w:val="auto"/>
              </w:rPr>
            </w:pPr>
            <w:r>
              <w:rPr>
                <w:rFonts w:ascii="Arial" w:cs="Arial" w:eastAsia="Arial" w:hAnsi="Arial"/>
                <w:sz w:val="14"/>
                <w:szCs w:val="14"/>
                <w:color w:val="auto"/>
              </w:rPr>
              <w:t>587,282</w:t>
            </w: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30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20" w:type="dxa"/>
            <w:vAlign w:val="bottom"/>
            <w:tcBorders>
              <w:bottom w:val="single" w:sz="8" w:color="E6E6E6"/>
            </w:tcBorders>
            <w:shd w:val="clear" w:color="auto" w:fill="E6E6E6"/>
          </w:tcPr>
          <w:p>
            <w:pPr>
              <w:spacing w:after="0"/>
              <w:rPr>
                <w:sz w:val="22"/>
                <w:szCs w:val="22"/>
                <w:color w:val="auto"/>
              </w:rPr>
            </w:pPr>
          </w:p>
        </w:tc>
        <w:tc>
          <w:tcPr>
            <w:tcW w:w="17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4"/>
                <w:szCs w:val="14"/>
                <w:b w:val="1"/>
                <w:bCs w:val="1"/>
                <w:color w:val="auto"/>
              </w:rPr>
              <w:t>Michelle Kennedy</w:t>
            </w:r>
          </w:p>
        </w:tc>
        <w:tc>
          <w:tcPr>
            <w:tcW w:w="3080" w:type="dxa"/>
            <w:vAlign w:val="bottom"/>
            <w:tcBorders>
              <w:bottom w:val="single" w:sz="8" w:color="E6E6E6"/>
            </w:tcBorders>
            <w:shd w:val="clear" w:color="auto" w:fill="E6E6E6"/>
          </w:tcPr>
          <w:p>
            <w:pPr>
              <w:jc w:val="right"/>
              <w:ind w:right="392"/>
              <w:spacing w:after="0"/>
              <w:rPr>
                <w:sz w:val="20"/>
                <w:szCs w:val="20"/>
                <w:color w:val="auto"/>
              </w:rPr>
            </w:pPr>
            <w:r>
              <w:rPr>
                <w:rFonts w:ascii="Arial" w:cs="Arial" w:eastAsia="Arial" w:hAnsi="Arial"/>
                <w:sz w:val="14"/>
                <w:szCs w:val="14"/>
                <w:color w:val="auto"/>
              </w:rPr>
              <w:t>47,574</w:t>
            </w:r>
          </w:p>
        </w:tc>
        <w:tc>
          <w:tcPr>
            <w:tcW w:w="2300" w:type="dxa"/>
            <w:vAlign w:val="bottom"/>
            <w:tcBorders>
              <w:bottom w:val="single" w:sz="8" w:color="E6E6E6"/>
            </w:tcBorders>
            <w:shd w:val="clear" w:color="auto" w:fill="E6E6E6"/>
          </w:tcPr>
          <w:p>
            <w:pPr>
              <w:jc w:val="right"/>
              <w:ind w:right="293"/>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E6E6E6"/>
            </w:tcBorders>
            <w:shd w:val="clear" w:color="auto" w:fill="E6E6E6"/>
          </w:tcPr>
          <w:p>
            <w:pPr>
              <w:jc w:val="right"/>
              <w:ind w:right="54"/>
              <w:spacing w:after="0"/>
              <w:rPr>
                <w:sz w:val="20"/>
                <w:szCs w:val="20"/>
                <w:color w:val="auto"/>
              </w:rPr>
            </w:pPr>
            <w:r>
              <w:rPr>
                <w:rFonts w:ascii="Arial" w:cs="Arial" w:eastAsia="Arial" w:hAnsi="Arial"/>
                <w:sz w:val="14"/>
                <w:szCs w:val="14"/>
                <w:color w:val="auto"/>
              </w:rPr>
              <w:t>633,772</w:t>
            </w:r>
          </w:p>
        </w:tc>
        <w:tc>
          <w:tcPr>
            <w:tcW w:w="0" w:type="dxa"/>
            <w:vAlign w:val="bottom"/>
          </w:tcPr>
          <w:p>
            <w:pPr>
              <w:spacing w:after="0"/>
              <w:rPr>
                <w:sz w:val="1"/>
                <w:szCs w:val="1"/>
                <w:color w:val="auto"/>
              </w:rPr>
            </w:pPr>
          </w:p>
        </w:tc>
      </w:tr>
      <w:tr>
        <w:trPr>
          <w:trHeight w:val="20"/>
        </w:trPr>
        <w:tc>
          <w:tcPr>
            <w:tcW w:w="120" w:type="dxa"/>
            <w:vAlign w:val="bottom"/>
            <w:shd w:val="clear" w:color="auto" w:fill="D9BA05"/>
          </w:tcPr>
          <w:p>
            <w:pPr>
              <w:spacing w:after="0" w:line="20" w:lineRule="exact"/>
              <w:rPr>
                <w:sz w:val="1"/>
                <w:szCs w:val="1"/>
                <w:color w:val="auto"/>
              </w:rPr>
            </w:pPr>
          </w:p>
        </w:tc>
        <w:tc>
          <w:tcPr>
            <w:tcW w:w="1740" w:type="dxa"/>
            <w:vAlign w:val="bottom"/>
            <w:shd w:val="clear" w:color="auto" w:fill="D9BA05"/>
          </w:tcPr>
          <w:p>
            <w:pPr>
              <w:spacing w:after="0" w:line="20" w:lineRule="exact"/>
              <w:rPr>
                <w:sz w:val="1"/>
                <w:szCs w:val="1"/>
                <w:color w:val="auto"/>
              </w:rPr>
            </w:pPr>
          </w:p>
        </w:tc>
        <w:tc>
          <w:tcPr>
            <w:tcW w:w="3080" w:type="dxa"/>
            <w:vAlign w:val="bottom"/>
            <w:shd w:val="clear" w:color="auto" w:fill="D9BA05"/>
          </w:tcPr>
          <w:p>
            <w:pPr>
              <w:spacing w:after="0" w:line="20" w:lineRule="exact"/>
              <w:rPr>
                <w:sz w:val="1"/>
                <w:szCs w:val="1"/>
                <w:color w:val="auto"/>
              </w:rPr>
            </w:pPr>
          </w:p>
        </w:tc>
        <w:tc>
          <w:tcPr>
            <w:tcW w:w="2300" w:type="dxa"/>
            <w:vAlign w:val="bottom"/>
            <w:shd w:val="clear" w:color="auto" w:fill="D9BA05"/>
          </w:tcPr>
          <w:p>
            <w:pPr>
              <w:spacing w:after="0" w:line="20" w:lineRule="exact"/>
              <w:rPr>
                <w:sz w:val="1"/>
                <w:szCs w:val="1"/>
                <w:color w:val="auto"/>
              </w:rPr>
            </w:pPr>
          </w:p>
        </w:tc>
        <w:tc>
          <w:tcPr>
            <w:tcW w:w="2160" w:type="dxa"/>
            <w:vAlign w:val="bottom"/>
            <w:shd w:val="clear" w:color="auto" w:fill="D9BA0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40" w:right="340" w:hanging="334"/>
        <w:spacing w:after="0" w:line="243" w:lineRule="auto"/>
        <w:tabs>
          <w:tab w:leader="none" w:pos="340" w:val="left"/>
        </w:tabs>
        <w:numPr>
          <w:ilvl w:val="0"/>
          <w:numId w:val="28"/>
        </w:numPr>
        <w:rPr>
          <w:rFonts w:ascii="Arial" w:cs="Arial" w:eastAsia="Arial" w:hAnsi="Arial"/>
          <w:sz w:val="13"/>
          <w:szCs w:val="13"/>
          <w:color w:val="333333"/>
        </w:rPr>
      </w:pPr>
      <w:r>
        <w:rPr>
          <w:rFonts w:ascii="Arial" w:cs="Arial" w:eastAsia="Arial" w:hAnsi="Arial"/>
          <w:sz w:val="13"/>
          <w:szCs w:val="13"/>
          <w:color w:val="333333"/>
        </w:rPr>
        <w:t>The value of early vesting of stock options was determined based on the extent (if any) by which $22.80/share, which was the closing price of the Company’s Common Stock as reported on the NYSE on January 30, 2026, exceeded the exercise price of the subject options.</w:t>
      </w:r>
    </w:p>
    <w:p>
      <w:pPr>
        <w:spacing w:after="0" w:line="61" w:lineRule="exact"/>
        <w:rPr>
          <w:rFonts w:ascii="Arial" w:cs="Arial" w:eastAsia="Arial" w:hAnsi="Arial"/>
          <w:sz w:val="13"/>
          <w:szCs w:val="13"/>
          <w:color w:val="333333"/>
        </w:rPr>
      </w:pPr>
    </w:p>
    <w:p>
      <w:pPr>
        <w:ind w:left="340" w:right="220" w:hanging="334"/>
        <w:spacing w:after="0" w:line="243" w:lineRule="auto"/>
        <w:tabs>
          <w:tab w:leader="none" w:pos="340" w:val="left"/>
        </w:tabs>
        <w:numPr>
          <w:ilvl w:val="0"/>
          <w:numId w:val="28"/>
        </w:numPr>
        <w:rPr>
          <w:rFonts w:ascii="Arial" w:cs="Arial" w:eastAsia="Arial" w:hAnsi="Arial"/>
          <w:sz w:val="13"/>
          <w:szCs w:val="13"/>
          <w:color w:val="333333"/>
        </w:rPr>
      </w:pPr>
      <w:r>
        <w:rPr>
          <w:rFonts w:ascii="Arial" w:cs="Arial" w:eastAsia="Arial" w:hAnsi="Arial"/>
          <w:sz w:val="13"/>
          <w:szCs w:val="13"/>
          <w:color w:val="333333"/>
        </w:rPr>
        <w:t>The value of early vesting of stock awards was determined based on a value of $22.80/share, which was the closing price of the Company’s Common Stock as reported on the NYSE on January 30, 2026. PSU vesting is assumed at target payout level if the performance period is still pending.</w:t>
      </w:r>
    </w:p>
    <w:p>
      <w:pPr>
        <w:spacing w:after="0" w:line="61" w:lineRule="exact"/>
        <w:rPr>
          <w:rFonts w:ascii="Arial" w:cs="Arial" w:eastAsia="Arial" w:hAnsi="Arial"/>
          <w:sz w:val="13"/>
          <w:szCs w:val="13"/>
          <w:color w:val="333333"/>
        </w:rPr>
      </w:pPr>
    </w:p>
    <w:p>
      <w:pPr>
        <w:ind w:left="340" w:right="380" w:hanging="334"/>
        <w:spacing w:after="0" w:line="243" w:lineRule="auto"/>
        <w:tabs>
          <w:tab w:leader="none" w:pos="340" w:val="left"/>
        </w:tabs>
        <w:numPr>
          <w:ilvl w:val="0"/>
          <w:numId w:val="28"/>
        </w:numPr>
        <w:rPr>
          <w:rFonts w:ascii="Arial" w:cs="Arial" w:eastAsia="Arial" w:hAnsi="Arial"/>
          <w:sz w:val="13"/>
          <w:szCs w:val="13"/>
          <w:color w:val="333333"/>
        </w:rPr>
      </w:pPr>
      <w:r>
        <w:rPr>
          <w:rFonts w:ascii="Arial" w:cs="Arial" w:eastAsia="Arial" w:hAnsi="Arial"/>
          <w:sz w:val="13"/>
          <w:szCs w:val="13"/>
          <w:color w:val="333333"/>
        </w:rPr>
        <w:t>Equity awards granted in and after fiscal 2024 include double-trigger change in control vesting provisions and therefore do not vest upon a change in control unless the grantee is terminated without cause during the ensuing two years.</w:t>
      </w:r>
    </w:p>
    <w:p>
      <w:pPr>
        <w:spacing w:after="0" w:line="48" w:lineRule="exact"/>
        <w:rPr>
          <w:rFonts w:ascii="Arial" w:cs="Arial" w:eastAsia="Arial" w:hAnsi="Arial"/>
          <w:sz w:val="13"/>
          <w:szCs w:val="13"/>
          <w:color w:val="333333"/>
        </w:rPr>
      </w:pPr>
    </w:p>
    <w:p>
      <w:pPr>
        <w:jc w:val="both"/>
        <w:ind w:left="340" w:right="20" w:hanging="334"/>
        <w:spacing w:after="0" w:line="233" w:lineRule="auto"/>
        <w:tabs>
          <w:tab w:leader="none" w:pos="340" w:val="left"/>
        </w:tabs>
        <w:numPr>
          <w:ilvl w:val="0"/>
          <w:numId w:val="28"/>
        </w:numPr>
        <w:rPr>
          <w:rFonts w:ascii="Arial" w:cs="Arial" w:eastAsia="Arial" w:hAnsi="Arial"/>
          <w:sz w:val="13"/>
          <w:szCs w:val="13"/>
          <w:color w:val="333333"/>
        </w:rPr>
      </w:pPr>
      <w:r>
        <w:rPr>
          <w:rFonts w:ascii="Arial" w:cs="Arial" w:eastAsia="Arial" w:hAnsi="Arial"/>
          <w:sz w:val="13"/>
          <w:szCs w:val="13"/>
          <w:color w:val="333333"/>
        </w:rPr>
        <w:t>Since Mr. Grinberg’s DCP balance is already fully vested and he qualifies for automatic retirement vesting under the Stock Plan (see immediately below), a change in control would not effectively accelerate the vesting of his awards under these plans. If Mr. Grinberg had elected retirement treatment effective January 31, 2026, the value on that date of the early vesting of his stock options and stock awards would have been $0 and $4,918,348,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Death or Disability; Retirement</w:t>
      </w:r>
    </w:p>
    <w:p>
      <w:pPr>
        <w:spacing w:after="0" w:line="34"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If any of the NEOs dies or becomes permanently disabled, their unvested Company contributions under the DCP and their unvested stock options and stock awards under the Stock Plan would immediately vest; provided that disability vesting under the Stock Plan only applies after ten years of service with the Company. Retirement triggers immediate vesting (i) under the Stock Plan if the retiring employee is at least age 65 and (ii) under both the Stock Plan and the DCP if the retiring employee is at least age 55 and has been employed continuously by the Company for at least 10 years and the Compensation and Human Capital Committee approves the immediate vesting. As part of its approval, the Committee may impose any conditions as it deems to be appropriate which are not inconsistent with the express terms of the subject plan, including covenants dealing with non-competition, non-disparagement, non-solicitation and confidentiality. The values of such early vesting under both plans as of January 31, 2026, are shown in the table above (or, in the case of Mr. Grinberg, in footnote 4 thereto); provided that, since Mr. Soltani and Ms. Kennedy have less than ten years of service and are under age 65, they would not qualify for disability vesting under the Stock Plan and would not qualify for retirement vesting under either the Stock Plan or the DCP. All employer contributions to the DCP become fully vested upon attainment of 65 years of age even if the participant remains in active status.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Movado Group, Inc.        35</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Pay Ratio Disclosure</w:t>
      </w:r>
    </w:p>
    <w:p>
      <w:pPr>
        <w:spacing w:after="0" w:line="96"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As required by Section 953(b) of the Dodd-Frank Wall Street Reform and Consumer Protection Act, we are providing the following information about the relationship of the annual total compensation of CEO Efraim Grinberg to that of our median employee.</w:t>
      </w:r>
    </w:p>
    <w:p>
      <w:pPr>
        <w:spacing w:after="0" w:line="10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To identify the median employee, we used the total calendar 2025 compensation as reflected in our tax records for all employees, excluding our CEO, who were employed by us on January 31, 2026. We included full-time, part-time, seasonal and temporary employees. We converted compensation paid in foreign currencies using the applicable prevailing exchange rate in effect on December 31, 2025. We annualized the compensation for employees who joined the Company after January 1, 2025.</w:t>
      </w:r>
    </w:p>
    <w:p>
      <w:pPr>
        <w:spacing w:after="0" w:line="124"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After identifying the median employee, we calculated annual total compensation for the median employee using the same methodology we used for determining total compensation for our NEOs as shown in the Summary Compensation Table for Fiscal 2026 above. For fiscal 2026, the annual total compensation of Efraim Grinberg was $5,228,254 and the annual total compensation of our median employee was $32,312, resulting in a ratio of 162 to 1. Excluding United States-based part-time employees, the ratio would be 87 to 1.</w:t>
      </w:r>
    </w:p>
    <w:p>
      <w:pPr>
        <w:spacing w:after="0" w:line="126"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The SEC rules for identifying the median employee and calculating the pay ratio permit companies to use various methodologies and assumptions, to apply certain exclusions and to make reasonable estimates that reflect their employee population and compensation practices. As a result, the pay ratio reported by other companies may not be comparable to the pay ratio that we have reported.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Movado Group, Inc.        36</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19"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Pay Versus Performance</w:t>
      </w:r>
    </w:p>
    <w:p>
      <w:pPr>
        <w:spacing w:after="0" w:line="96"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following table sets forth the pay versus performance disclosure required by Section 953(a) of the Dodd-Frank Wall Street Reform and Consumer Protection Act and Item 402(v) of Regulation S-K. The Compensation and Human Capital Committee did not consider the pay versus performance disclosure below in making its pay decisions for any of the years shown. For further information concerning the Company’s pay-for-performance philosophy and how the Company aligns executive compensation with the Company’s performance, refer to the “Compensation Discussion and Analysis,” above.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0" w:type="dxa"/>
            <w:vAlign w:val="bottom"/>
          </w:tcPr>
          <w:p>
            <w:pPr>
              <w:ind w:left="160"/>
              <w:spacing w:after="0"/>
              <w:rPr>
                <w:sz w:val="20"/>
                <w:szCs w:val="20"/>
                <w:color w:val="auto"/>
              </w:rPr>
            </w:pPr>
            <w:r>
              <w:rPr>
                <w:rFonts w:ascii="Arial" w:cs="Arial" w:eastAsia="Arial" w:hAnsi="Arial"/>
                <w:sz w:val="13"/>
                <w:szCs w:val="13"/>
                <w:b w:val="1"/>
                <w:bCs w:val="1"/>
                <w:color w:val="auto"/>
              </w:rPr>
              <w:t>(A)</w:t>
            </w:r>
          </w:p>
        </w:tc>
        <w:tc>
          <w:tcPr>
            <w:tcW w:w="1200" w:type="dxa"/>
            <w:vAlign w:val="bottom"/>
          </w:tcPr>
          <w:p>
            <w:pPr>
              <w:jc w:val="right"/>
              <w:ind w:right="69"/>
              <w:spacing w:after="0"/>
              <w:rPr>
                <w:sz w:val="20"/>
                <w:szCs w:val="20"/>
                <w:color w:val="auto"/>
              </w:rPr>
            </w:pPr>
            <w:r>
              <w:rPr>
                <w:rFonts w:ascii="Arial" w:cs="Arial" w:eastAsia="Arial" w:hAnsi="Arial"/>
                <w:sz w:val="13"/>
                <w:szCs w:val="13"/>
                <w:b w:val="1"/>
                <w:bCs w:val="1"/>
                <w:color w:val="auto"/>
              </w:rPr>
              <w:t>(B)</w:t>
            </w:r>
          </w:p>
        </w:tc>
        <w:tc>
          <w:tcPr>
            <w:tcW w:w="1180" w:type="dxa"/>
            <w:vAlign w:val="bottom"/>
          </w:tcPr>
          <w:p>
            <w:pPr>
              <w:jc w:val="right"/>
              <w:ind w:right="88"/>
              <w:spacing w:after="0"/>
              <w:rPr>
                <w:sz w:val="20"/>
                <w:szCs w:val="20"/>
                <w:color w:val="auto"/>
              </w:rPr>
            </w:pPr>
            <w:r>
              <w:rPr>
                <w:rFonts w:ascii="Arial" w:cs="Arial" w:eastAsia="Arial" w:hAnsi="Arial"/>
                <w:sz w:val="13"/>
                <w:szCs w:val="13"/>
                <w:b w:val="1"/>
                <w:bCs w:val="1"/>
                <w:color w:val="auto"/>
              </w:rPr>
              <w:t>(C)</w:t>
            </w:r>
          </w:p>
        </w:tc>
        <w:tc>
          <w:tcPr>
            <w:tcW w:w="240" w:type="dxa"/>
            <w:vAlign w:val="bottom"/>
          </w:tcPr>
          <w:p>
            <w:pPr>
              <w:spacing w:after="0"/>
              <w:rPr>
                <w:sz w:val="14"/>
                <w:szCs w:val="14"/>
                <w:color w:val="auto"/>
              </w:rPr>
            </w:pPr>
          </w:p>
        </w:tc>
        <w:tc>
          <w:tcPr>
            <w:tcW w:w="860" w:type="dxa"/>
            <w:vAlign w:val="bottom"/>
          </w:tcPr>
          <w:p>
            <w:pPr>
              <w:jc w:val="right"/>
              <w:ind w:right="71"/>
              <w:spacing w:after="0"/>
              <w:rPr>
                <w:sz w:val="20"/>
                <w:szCs w:val="20"/>
                <w:color w:val="auto"/>
              </w:rPr>
            </w:pPr>
            <w:r>
              <w:rPr>
                <w:rFonts w:ascii="Arial" w:cs="Arial" w:eastAsia="Arial" w:hAnsi="Arial"/>
                <w:sz w:val="13"/>
                <w:szCs w:val="13"/>
                <w:b w:val="1"/>
                <w:bCs w:val="1"/>
                <w:color w:val="auto"/>
              </w:rPr>
              <w:t>(D)</w:t>
            </w:r>
          </w:p>
        </w:tc>
        <w:tc>
          <w:tcPr>
            <w:tcW w:w="240" w:type="dxa"/>
            <w:vAlign w:val="bottom"/>
          </w:tcPr>
          <w:p>
            <w:pPr>
              <w:spacing w:after="0"/>
              <w:rPr>
                <w:sz w:val="14"/>
                <w:szCs w:val="14"/>
                <w:color w:val="auto"/>
              </w:rPr>
            </w:pPr>
          </w:p>
        </w:tc>
        <w:tc>
          <w:tcPr>
            <w:tcW w:w="1000" w:type="dxa"/>
            <w:vAlign w:val="bottom"/>
          </w:tcPr>
          <w:p>
            <w:pPr>
              <w:jc w:val="right"/>
              <w:ind w:right="210"/>
              <w:spacing w:after="0"/>
              <w:rPr>
                <w:sz w:val="20"/>
                <w:szCs w:val="20"/>
                <w:color w:val="auto"/>
              </w:rPr>
            </w:pPr>
            <w:r>
              <w:rPr>
                <w:rFonts w:ascii="Arial" w:cs="Arial" w:eastAsia="Arial" w:hAnsi="Arial"/>
                <w:sz w:val="13"/>
                <w:szCs w:val="13"/>
                <w:b w:val="1"/>
                <w:bCs w:val="1"/>
                <w:color w:val="auto"/>
              </w:rPr>
              <w:t>(E)</w:t>
            </w:r>
          </w:p>
        </w:tc>
        <w:tc>
          <w:tcPr>
            <w:tcW w:w="620" w:type="dxa"/>
            <w:vAlign w:val="bottom"/>
          </w:tcPr>
          <w:p>
            <w:pPr>
              <w:jc w:val="right"/>
              <w:ind w:right="50"/>
              <w:spacing w:after="0"/>
              <w:rPr>
                <w:sz w:val="20"/>
                <w:szCs w:val="20"/>
                <w:color w:val="auto"/>
              </w:rPr>
            </w:pPr>
            <w:r>
              <w:rPr>
                <w:rFonts w:ascii="Arial" w:cs="Arial" w:eastAsia="Arial" w:hAnsi="Arial"/>
                <w:sz w:val="13"/>
                <w:szCs w:val="13"/>
                <w:b w:val="1"/>
                <w:bCs w:val="1"/>
                <w:color w:val="auto"/>
              </w:rPr>
              <w:t>(F)</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(G)</w:t>
            </w:r>
          </w:p>
        </w:tc>
        <w:tc>
          <w:tcPr>
            <w:tcW w:w="1220" w:type="dxa"/>
            <w:vAlign w:val="bottom"/>
          </w:tcPr>
          <w:p>
            <w:pPr>
              <w:jc w:val="right"/>
              <w:ind w:right="84"/>
              <w:spacing w:after="0"/>
              <w:rPr>
                <w:sz w:val="20"/>
                <w:szCs w:val="20"/>
                <w:color w:val="auto"/>
              </w:rPr>
            </w:pPr>
            <w:r>
              <w:rPr>
                <w:rFonts w:ascii="Arial" w:cs="Arial" w:eastAsia="Arial" w:hAnsi="Arial"/>
                <w:sz w:val="13"/>
                <w:szCs w:val="13"/>
                <w:b w:val="1"/>
                <w:bCs w:val="1"/>
                <w:color w:val="auto"/>
              </w:rPr>
              <w:t>(H)</w:t>
            </w:r>
          </w:p>
        </w:tc>
        <w:tc>
          <w:tcPr>
            <w:tcW w:w="1260" w:type="dxa"/>
            <w:vAlign w:val="bottom"/>
          </w:tcPr>
          <w:p>
            <w:pPr>
              <w:jc w:val="right"/>
              <w:ind w:right="47"/>
              <w:spacing w:after="0"/>
              <w:rPr>
                <w:sz w:val="20"/>
                <w:szCs w:val="20"/>
                <w:color w:val="auto"/>
              </w:rPr>
            </w:pPr>
            <w:r>
              <w:rPr>
                <w:rFonts w:ascii="Arial" w:cs="Arial" w:eastAsia="Arial" w:hAnsi="Arial"/>
                <w:sz w:val="13"/>
                <w:szCs w:val="13"/>
                <w:b w:val="1"/>
                <w:bCs w:val="1"/>
                <w:color w:val="auto"/>
              </w:rPr>
              <w:t>(I)</w:t>
            </w:r>
          </w:p>
        </w:tc>
        <w:tc>
          <w:tcPr>
            <w:tcW w:w="0" w:type="dxa"/>
            <w:vAlign w:val="bottom"/>
          </w:tcPr>
          <w:p>
            <w:pPr>
              <w:spacing w:after="0"/>
              <w:rPr>
                <w:sz w:val="1"/>
                <w:szCs w:val="1"/>
                <w:color w:val="auto"/>
              </w:rPr>
            </w:pPr>
          </w:p>
        </w:tc>
      </w:tr>
      <w:tr>
        <w:trPr>
          <w:trHeight w:val="62"/>
        </w:trPr>
        <w:tc>
          <w:tcPr>
            <w:tcW w:w="800" w:type="dxa"/>
            <w:vAlign w:val="bottom"/>
            <w:tcBorders>
              <w:bottom w:val="single" w:sz="8" w:color="D9BA05"/>
            </w:tcBorders>
          </w:tcPr>
          <w:p>
            <w:pPr>
              <w:spacing w:after="0"/>
              <w:rPr>
                <w:sz w:val="5"/>
                <w:szCs w:val="5"/>
                <w:color w:val="auto"/>
              </w:rPr>
            </w:pPr>
          </w:p>
        </w:tc>
        <w:tc>
          <w:tcPr>
            <w:tcW w:w="1200" w:type="dxa"/>
            <w:vAlign w:val="bottom"/>
            <w:tcBorders>
              <w:bottom w:val="single" w:sz="8" w:color="D9BA05"/>
            </w:tcBorders>
          </w:tcPr>
          <w:p>
            <w:pPr>
              <w:spacing w:after="0"/>
              <w:rPr>
                <w:sz w:val="5"/>
                <w:szCs w:val="5"/>
                <w:color w:val="auto"/>
              </w:rPr>
            </w:pPr>
          </w:p>
        </w:tc>
        <w:tc>
          <w:tcPr>
            <w:tcW w:w="1180" w:type="dxa"/>
            <w:vAlign w:val="bottom"/>
            <w:tcBorders>
              <w:bottom w:val="single" w:sz="8" w:color="D9BA05"/>
            </w:tcBorders>
          </w:tcPr>
          <w:p>
            <w:pPr>
              <w:spacing w:after="0"/>
              <w:rPr>
                <w:sz w:val="5"/>
                <w:szCs w:val="5"/>
                <w:color w:val="auto"/>
              </w:rPr>
            </w:pPr>
          </w:p>
        </w:tc>
        <w:tc>
          <w:tcPr>
            <w:tcW w:w="240" w:type="dxa"/>
            <w:vAlign w:val="bottom"/>
            <w:tcBorders>
              <w:bottom w:val="single" w:sz="8" w:color="D9BA05"/>
            </w:tcBorders>
          </w:tcPr>
          <w:p>
            <w:pPr>
              <w:spacing w:after="0"/>
              <w:rPr>
                <w:sz w:val="5"/>
                <w:szCs w:val="5"/>
                <w:color w:val="auto"/>
              </w:rPr>
            </w:pPr>
          </w:p>
        </w:tc>
        <w:tc>
          <w:tcPr>
            <w:tcW w:w="860" w:type="dxa"/>
            <w:vAlign w:val="bottom"/>
            <w:tcBorders>
              <w:bottom w:val="single" w:sz="8" w:color="D9BA05"/>
            </w:tcBorders>
          </w:tcPr>
          <w:p>
            <w:pPr>
              <w:spacing w:after="0"/>
              <w:rPr>
                <w:sz w:val="5"/>
                <w:szCs w:val="5"/>
                <w:color w:val="auto"/>
              </w:rPr>
            </w:pPr>
          </w:p>
        </w:tc>
        <w:tc>
          <w:tcPr>
            <w:tcW w:w="240" w:type="dxa"/>
            <w:vAlign w:val="bottom"/>
            <w:tcBorders>
              <w:bottom w:val="single" w:sz="8" w:color="D9BA05"/>
            </w:tcBorders>
          </w:tcPr>
          <w:p>
            <w:pPr>
              <w:spacing w:after="0"/>
              <w:rPr>
                <w:sz w:val="5"/>
                <w:szCs w:val="5"/>
                <w:color w:val="auto"/>
              </w:rPr>
            </w:pPr>
          </w:p>
        </w:tc>
        <w:tc>
          <w:tcPr>
            <w:tcW w:w="1000" w:type="dxa"/>
            <w:vAlign w:val="bottom"/>
            <w:tcBorders>
              <w:bottom w:val="single" w:sz="8" w:color="D9BA05"/>
            </w:tcBorders>
          </w:tcPr>
          <w:p>
            <w:pPr>
              <w:spacing w:after="0"/>
              <w:rPr>
                <w:sz w:val="5"/>
                <w:szCs w:val="5"/>
                <w:color w:val="auto"/>
              </w:rPr>
            </w:pPr>
          </w:p>
        </w:tc>
        <w:tc>
          <w:tcPr>
            <w:tcW w:w="1260" w:type="dxa"/>
            <w:vAlign w:val="bottom"/>
            <w:tcBorders>
              <w:bottom w:val="single" w:sz="8" w:color="D9BA05"/>
            </w:tcBorders>
            <w:gridSpan w:val="2"/>
          </w:tcPr>
          <w:p>
            <w:pPr>
              <w:spacing w:after="0"/>
              <w:rPr>
                <w:sz w:val="5"/>
                <w:szCs w:val="5"/>
                <w:color w:val="auto"/>
              </w:rPr>
            </w:pPr>
          </w:p>
        </w:tc>
        <w:tc>
          <w:tcPr>
            <w:tcW w:w="140" w:type="dxa"/>
            <w:vAlign w:val="bottom"/>
            <w:tcBorders>
              <w:bottom w:val="single" w:sz="8" w:color="D9BA05"/>
            </w:tcBorders>
          </w:tcPr>
          <w:p>
            <w:pPr>
              <w:spacing w:after="0"/>
              <w:rPr>
                <w:sz w:val="5"/>
                <w:szCs w:val="5"/>
                <w:color w:val="auto"/>
              </w:rPr>
            </w:pPr>
          </w:p>
        </w:tc>
        <w:tc>
          <w:tcPr>
            <w:tcW w:w="1220" w:type="dxa"/>
            <w:vAlign w:val="bottom"/>
            <w:tcBorders>
              <w:bottom w:val="single" w:sz="8" w:color="D9BA05"/>
            </w:tcBorders>
          </w:tcPr>
          <w:p>
            <w:pPr>
              <w:spacing w:after="0"/>
              <w:rPr>
                <w:sz w:val="5"/>
                <w:szCs w:val="5"/>
                <w:color w:val="auto"/>
              </w:rPr>
            </w:pPr>
          </w:p>
        </w:tc>
        <w:tc>
          <w:tcPr>
            <w:tcW w:w="1260" w:type="dxa"/>
            <w:vAlign w:val="bottom"/>
            <w:tcBorders>
              <w:bottom w:val="single" w:sz="8" w:color="D9BA05"/>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5"/>
              </w:rPr>
              <w:t>VALUE OF INITIAL</w:t>
            </w:r>
          </w:p>
        </w:tc>
        <w:tc>
          <w:tcPr>
            <w:tcW w:w="1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8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right"/>
              <w:ind w:right="111"/>
              <w:spacing w:after="0"/>
              <w:rPr>
                <w:sz w:val="20"/>
                <w:szCs w:val="20"/>
                <w:color w:val="auto"/>
              </w:rPr>
            </w:pPr>
            <w:r>
              <w:rPr>
                <w:rFonts w:ascii="Arial" w:cs="Arial" w:eastAsia="Arial" w:hAnsi="Arial"/>
                <w:sz w:val="13"/>
                <w:szCs w:val="13"/>
                <w:b w:val="1"/>
                <w:bCs w:val="1"/>
                <w:color w:val="auto"/>
              </w:rPr>
              <w:t>AVERAGE</w:t>
            </w:r>
          </w:p>
        </w:tc>
        <w:tc>
          <w:tcPr>
            <w:tcW w:w="2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8"/>
              </w:rPr>
              <w:t>FIXED $100</w:t>
            </w:r>
          </w:p>
        </w:tc>
        <w:tc>
          <w:tcPr>
            <w:tcW w:w="1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ind w:right="111"/>
              <w:spacing w:after="0" w:line="135" w:lineRule="exact"/>
              <w:rPr>
                <w:sz w:val="20"/>
                <w:szCs w:val="20"/>
                <w:color w:val="auto"/>
              </w:rPr>
            </w:pPr>
            <w:r>
              <w:rPr>
                <w:rFonts w:ascii="Arial" w:cs="Arial" w:eastAsia="Arial" w:hAnsi="Arial"/>
                <w:sz w:val="13"/>
                <w:szCs w:val="13"/>
                <w:b w:val="1"/>
                <w:bCs w:val="1"/>
                <w:color w:val="auto"/>
                <w:w w:val="98"/>
              </w:rPr>
              <w:t>SUMMARY</w:t>
            </w:r>
          </w:p>
        </w:tc>
        <w:tc>
          <w:tcPr>
            <w:tcW w:w="240" w:type="dxa"/>
            <w:vAlign w:val="bottom"/>
          </w:tcPr>
          <w:p>
            <w:pPr>
              <w:spacing w:after="0"/>
              <w:rPr>
                <w:sz w:val="11"/>
                <w:szCs w:val="11"/>
                <w:color w:val="auto"/>
              </w:rPr>
            </w:pPr>
          </w:p>
        </w:tc>
        <w:tc>
          <w:tcPr>
            <w:tcW w:w="1000" w:type="dxa"/>
            <w:vAlign w:val="bottom"/>
            <w:vMerge w:val="restart"/>
          </w:tcPr>
          <w:p>
            <w:pPr>
              <w:jc w:val="right"/>
              <w:ind w:right="250"/>
              <w:spacing w:after="0"/>
              <w:rPr>
                <w:sz w:val="20"/>
                <w:szCs w:val="20"/>
                <w:color w:val="auto"/>
              </w:rPr>
            </w:pPr>
            <w:r>
              <w:rPr>
                <w:rFonts w:ascii="Arial" w:cs="Arial" w:eastAsia="Arial" w:hAnsi="Arial"/>
                <w:sz w:val="13"/>
                <w:szCs w:val="13"/>
                <w:b w:val="1"/>
                <w:bCs w:val="1"/>
                <w:color w:val="auto"/>
              </w:rPr>
              <w:t>AVERAGE</w:t>
            </w:r>
          </w:p>
        </w:tc>
        <w:tc>
          <w:tcPr>
            <w:tcW w:w="140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5"/>
              </w:rPr>
              <w:t>INVESTMENT ON</w:t>
            </w:r>
          </w:p>
        </w:tc>
        <w:tc>
          <w:tcPr>
            <w:tcW w:w="1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1200" w:type="dxa"/>
            <w:vAlign w:val="bottom"/>
            <w:vMerge w:val="restart"/>
          </w:tcPr>
          <w:p>
            <w:pPr>
              <w:jc w:val="right"/>
              <w:ind w:right="109"/>
              <w:spacing w:after="0"/>
              <w:rPr>
                <w:sz w:val="20"/>
                <w:szCs w:val="20"/>
                <w:color w:val="auto"/>
              </w:rPr>
            </w:pPr>
            <w:r>
              <w:rPr>
                <w:rFonts w:ascii="Arial" w:cs="Arial" w:eastAsia="Arial" w:hAnsi="Arial"/>
                <w:sz w:val="13"/>
                <w:szCs w:val="13"/>
                <w:b w:val="1"/>
                <w:bCs w:val="1"/>
                <w:color w:val="auto"/>
              </w:rPr>
              <w:t>SUMMARY</w:t>
            </w:r>
          </w:p>
        </w:tc>
        <w:tc>
          <w:tcPr>
            <w:tcW w:w="1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jc w:val="right"/>
              <w:ind w:right="111"/>
              <w:spacing w:after="0" w:line="135" w:lineRule="exact"/>
              <w:rPr>
                <w:sz w:val="20"/>
                <w:szCs w:val="20"/>
                <w:color w:val="auto"/>
              </w:rPr>
            </w:pPr>
            <w:r>
              <w:rPr>
                <w:rFonts w:ascii="Arial" w:cs="Arial" w:eastAsia="Arial" w:hAnsi="Arial"/>
                <w:sz w:val="13"/>
                <w:szCs w:val="13"/>
                <w:b w:val="1"/>
                <w:bCs w:val="1"/>
                <w:color w:val="auto"/>
              </w:rPr>
              <w:t>COMP.</w:t>
            </w:r>
          </w:p>
        </w:tc>
        <w:tc>
          <w:tcPr>
            <w:tcW w:w="2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400" w:type="dxa"/>
            <w:vAlign w:val="bottom"/>
            <w:gridSpan w:val="3"/>
          </w:tcPr>
          <w:p>
            <w:pPr>
              <w:jc w:val="center"/>
              <w:ind w:right="180"/>
              <w:spacing w:after="0" w:line="135" w:lineRule="exact"/>
              <w:rPr>
                <w:sz w:val="20"/>
                <w:szCs w:val="20"/>
                <w:color w:val="auto"/>
              </w:rPr>
            </w:pPr>
            <w:r>
              <w:rPr>
                <w:rFonts w:ascii="Arial" w:cs="Arial" w:eastAsia="Arial" w:hAnsi="Arial"/>
                <w:sz w:val="13"/>
                <w:szCs w:val="13"/>
                <w:b w:val="1"/>
                <w:bCs w:val="1"/>
                <w:color w:val="auto"/>
                <w:w w:val="97"/>
              </w:rPr>
              <w:t>JANUARY 31, 2021</w:t>
            </w:r>
          </w:p>
        </w:tc>
        <w:tc>
          <w:tcPr>
            <w:tcW w:w="1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8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71"/>
              <w:spacing w:after="0" w:line="144" w:lineRule="exact"/>
              <w:rPr>
                <w:sz w:val="20"/>
                <w:szCs w:val="20"/>
                <w:color w:val="auto"/>
              </w:rPr>
            </w:pPr>
            <w:r>
              <w:rPr>
                <w:rFonts w:ascii="Arial" w:cs="Arial" w:eastAsia="Arial" w:hAnsi="Arial"/>
                <w:sz w:val="13"/>
                <w:szCs w:val="13"/>
                <w:b w:val="1"/>
                <w:bCs w:val="1"/>
                <w:color w:val="auto"/>
              </w:rPr>
              <w:t>TABLE</w:t>
            </w:r>
          </w:p>
        </w:tc>
        <w:tc>
          <w:tcPr>
            <w:tcW w:w="240" w:type="dxa"/>
            <w:vAlign w:val="bottom"/>
          </w:tcPr>
          <w:p>
            <w:pPr>
              <w:spacing w:after="0"/>
              <w:rPr>
                <w:sz w:val="12"/>
                <w:szCs w:val="12"/>
                <w:color w:val="auto"/>
              </w:rPr>
            </w:pPr>
          </w:p>
        </w:tc>
        <w:tc>
          <w:tcPr>
            <w:tcW w:w="1000" w:type="dxa"/>
            <w:vAlign w:val="bottom"/>
          </w:tcPr>
          <w:p>
            <w:pPr>
              <w:jc w:val="right"/>
              <w:ind w:right="250"/>
              <w:spacing w:after="0" w:line="144" w:lineRule="exact"/>
              <w:rPr>
                <w:sz w:val="20"/>
                <w:szCs w:val="20"/>
                <w:color w:val="auto"/>
              </w:rPr>
            </w:pPr>
            <w:r>
              <w:rPr>
                <w:rFonts w:ascii="Arial" w:cs="Arial" w:eastAsia="Arial" w:hAnsi="Arial"/>
                <w:sz w:val="13"/>
                <w:szCs w:val="13"/>
                <w:b w:val="1"/>
                <w:bCs w:val="1"/>
                <w:color w:val="auto"/>
              </w:rPr>
              <w:t>COMP.</w:t>
            </w:r>
          </w:p>
        </w:tc>
        <w:tc>
          <w:tcPr>
            <w:tcW w:w="1400" w:type="dxa"/>
            <w:vAlign w:val="bottom"/>
            <w:gridSpan w:val="3"/>
          </w:tcPr>
          <w:p>
            <w:pPr>
              <w:jc w:val="center"/>
              <w:ind w:right="140"/>
              <w:spacing w:after="0" w:line="144" w:lineRule="exact"/>
              <w:rPr>
                <w:sz w:val="20"/>
                <w:szCs w:val="20"/>
                <w:color w:val="auto"/>
              </w:rPr>
            </w:pPr>
            <w:r>
              <w:rPr>
                <w:rFonts w:ascii="Arial" w:cs="Arial" w:eastAsia="Arial" w:hAnsi="Arial"/>
                <w:sz w:val="13"/>
                <w:szCs w:val="13"/>
                <w:b w:val="1"/>
                <w:bCs w:val="1"/>
                <w:color w:val="auto"/>
                <w:w w:val="95"/>
              </w:rPr>
              <w:t>BASED ON:</w:t>
            </w:r>
          </w:p>
        </w:tc>
        <w:tc>
          <w:tcPr>
            <w:tcW w:w="1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800" w:type="dxa"/>
            <w:vAlign w:val="bottom"/>
          </w:tcPr>
          <w:p>
            <w:pPr>
              <w:spacing w:after="0"/>
              <w:rPr>
                <w:sz w:val="6"/>
                <w:szCs w:val="6"/>
                <w:color w:val="auto"/>
              </w:rPr>
            </w:pPr>
          </w:p>
        </w:tc>
        <w:tc>
          <w:tcPr>
            <w:tcW w:w="1200" w:type="dxa"/>
            <w:vAlign w:val="bottom"/>
            <w:vMerge w:val="restart"/>
          </w:tcPr>
          <w:p>
            <w:pPr>
              <w:jc w:val="right"/>
              <w:ind w:right="109"/>
              <w:spacing w:after="0" w:line="135" w:lineRule="exact"/>
              <w:rPr>
                <w:sz w:val="20"/>
                <w:szCs w:val="20"/>
                <w:color w:val="auto"/>
              </w:rPr>
            </w:pPr>
            <w:r>
              <w:rPr>
                <w:rFonts w:ascii="Arial" w:cs="Arial" w:eastAsia="Arial" w:hAnsi="Arial"/>
                <w:sz w:val="13"/>
                <w:szCs w:val="13"/>
                <w:b w:val="1"/>
                <w:bCs w:val="1"/>
                <w:color w:val="auto"/>
              </w:rPr>
              <w:t>COMP.</w:t>
            </w:r>
          </w:p>
        </w:tc>
        <w:tc>
          <w:tcPr>
            <w:tcW w:w="1180" w:type="dxa"/>
            <w:vAlign w:val="bottom"/>
            <w:vMerge w:val="restart"/>
          </w:tcPr>
          <w:p>
            <w:pPr>
              <w:jc w:val="right"/>
              <w:ind w:right="128"/>
              <w:spacing w:after="0" w:line="135" w:lineRule="exact"/>
              <w:rPr>
                <w:sz w:val="20"/>
                <w:szCs w:val="20"/>
                <w:color w:val="auto"/>
              </w:rPr>
            </w:pPr>
            <w:r>
              <w:rPr>
                <w:rFonts w:ascii="Arial" w:cs="Arial" w:eastAsia="Arial" w:hAnsi="Arial"/>
                <w:sz w:val="13"/>
                <w:szCs w:val="13"/>
                <w:b w:val="1"/>
                <w:bCs w:val="1"/>
                <w:color w:val="auto"/>
              </w:rPr>
              <w:t>COMP.</w:t>
            </w:r>
          </w:p>
        </w:tc>
        <w:tc>
          <w:tcPr>
            <w:tcW w:w="240" w:type="dxa"/>
            <w:vAlign w:val="bottom"/>
          </w:tcPr>
          <w:p>
            <w:pPr>
              <w:spacing w:after="0"/>
              <w:rPr>
                <w:sz w:val="6"/>
                <w:szCs w:val="6"/>
                <w:color w:val="auto"/>
              </w:rPr>
            </w:pPr>
          </w:p>
        </w:tc>
        <w:tc>
          <w:tcPr>
            <w:tcW w:w="860" w:type="dxa"/>
            <w:vAlign w:val="bottom"/>
            <w:vMerge w:val="restart"/>
          </w:tcPr>
          <w:p>
            <w:pPr>
              <w:jc w:val="right"/>
              <w:ind w:right="111"/>
              <w:spacing w:after="0" w:line="135" w:lineRule="exact"/>
              <w:rPr>
                <w:sz w:val="20"/>
                <w:szCs w:val="20"/>
                <w:color w:val="auto"/>
              </w:rPr>
            </w:pPr>
            <w:r>
              <w:rPr>
                <w:rFonts w:ascii="Arial" w:cs="Arial" w:eastAsia="Arial" w:hAnsi="Arial"/>
                <w:sz w:val="13"/>
                <w:szCs w:val="13"/>
                <w:b w:val="1"/>
                <w:bCs w:val="1"/>
                <w:color w:val="auto"/>
              </w:rPr>
              <w:t>TOTAL</w:t>
            </w:r>
          </w:p>
        </w:tc>
        <w:tc>
          <w:tcPr>
            <w:tcW w:w="240" w:type="dxa"/>
            <w:vAlign w:val="bottom"/>
          </w:tcPr>
          <w:p>
            <w:pPr>
              <w:spacing w:after="0"/>
              <w:rPr>
                <w:sz w:val="6"/>
                <w:szCs w:val="6"/>
                <w:color w:val="auto"/>
              </w:rPr>
            </w:pPr>
          </w:p>
        </w:tc>
        <w:tc>
          <w:tcPr>
            <w:tcW w:w="1000" w:type="dxa"/>
            <w:vAlign w:val="bottom"/>
            <w:vMerge w:val="restart"/>
          </w:tcPr>
          <w:p>
            <w:pPr>
              <w:jc w:val="right"/>
              <w:ind w:right="250"/>
              <w:spacing w:after="0" w:line="135" w:lineRule="exact"/>
              <w:rPr>
                <w:sz w:val="20"/>
                <w:szCs w:val="20"/>
                <w:color w:val="auto"/>
              </w:rPr>
            </w:pPr>
            <w:r>
              <w:rPr>
                <w:rFonts w:ascii="Arial" w:cs="Arial" w:eastAsia="Arial" w:hAnsi="Arial"/>
                <w:sz w:val="13"/>
                <w:szCs w:val="13"/>
                <w:b w:val="1"/>
                <w:bCs w:val="1"/>
                <w:color w:val="auto"/>
                <w:w w:val="94"/>
              </w:rPr>
              <w:t>ACTUALLY</w:t>
            </w:r>
          </w:p>
        </w:tc>
        <w:tc>
          <w:tcPr>
            <w:tcW w:w="620" w:type="dxa"/>
            <w:vAlign w:val="bottom"/>
            <w:tcBorders>
              <w:bottom w:val="single" w:sz="8" w:color="D9BA05"/>
            </w:tcBorders>
          </w:tcPr>
          <w:p>
            <w:pPr>
              <w:spacing w:after="0"/>
              <w:rPr>
                <w:sz w:val="6"/>
                <w:szCs w:val="6"/>
                <w:color w:val="auto"/>
              </w:rPr>
            </w:pPr>
          </w:p>
        </w:tc>
        <w:tc>
          <w:tcPr>
            <w:tcW w:w="640" w:type="dxa"/>
            <w:vAlign w:val="bottom"/>
            <w:tcBorders>
              <w:bottom w:val="single" w:sz="8" w:color="D9BA05"/>
            </w:tcBorders>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80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rPr>
              <w:t>PEER</w:t>
            </w:r>
          </w:p>
        </w:tc>
        <w:tc>
          <w:tcPr>
            <w:tcW w:w="1220" w:type="dxa"/>
            <w:vAlign w:val="bottom"/>
          </w:tcPr>
          <w:p>
            <w:pPr>
              <w:spacing w:after="0"/>
              <w:rPr>
                <w:sz w:val="3"/>
                <w:szCs w:val="3"/>
                <w:color w:val="auto"/>
              </w:rPr>
            </w:pPr>
          </w:p>
        </w:tc>
        <w:tc>
          <w:tcPr>
            <w:tcW w:w="1260" w:type="dxa"/>
            <w:vAlign w:val="bottom"/>
            <w:vMerge w:val="restart"/>
          </w:tcPr>
          <w:p>
            <w:pPr>
              <w:jc w:val="right"/>
              <w:ind w:right="87"/>
              <w:spacing w:after="0"/>
              <w:rPr>
                <w:sz w:val="20"/>
                <w:szCs w:val="20"/>
                <w:color w:val="auto"/>
              </w:rPr>
            </w:pPr>
            <w:r>
              <w:rPr>
                <w:rFonts w:ascii="Arial" w:cs="Arial" w:eastAsia="Arial" w:hAnsi="Arial"/>
                <w:sz w:val="13"/>
                <w:szCs w:val="13"/>
                <w:b w:val="1"/>
                <w:bCs w:val="1"/>
                <w:color w:val="auto"/>
              </w:rPr>
              <w:t>ADJUSTED</w:t>
            </w:r>
          </w:p>
        </w:tc>
        <w:tc>
          <w:tcPr>
            <w:tcW w:w="0" w:type="dxa"/>
            <w:vAlign w:val="bottom"/>
          </w:tcPr>
          <w:p>
            <w:pPr>
              <w:spacing w:after="0"/>
              <w:rPr>
                <w:sz w:val="1"/>
                <w:szCs w:val="1"/>
                <w:color w:val="auto"/>
              </w:rPr>
            </w:pPr>
          </w:p>
        </w:tc>
      </w:tr>
      <w:tr>
        <w:trPr>
          <w:trHeight w:val="135"/>
        </w:trPr>
        <w:tc>
          <w:tcPr>
            <w:tcW w:w="800" w:type="dxa"/>
            <w:vAlign w:val="bottom"/>
          </w:tcPr>
          <w:p>
            <w:pPr>
              <w:spacing w:after="0"/>
              <w:rPr>
                <w:sz w:val="11"/>
                <w:szCs w:val="11"/>
                <w:color w:val="auto"/>
              </w:rPr>
            </w:pPr>
          </w:p>
        </w:tc>
        <w:tc>
          <w:tcPr>
            <w:tcW w:w="1200" w:type="dxa"/>
            <w:vAlign w:val="bottom"/>
          </w:tcPr>
          <w:p>
            <w:pPr>
              <w:jc w:val="right"/>
              <w:ind w:right="109"/>
              <w:spacing w:after="0" w:line="135" w:lineRule="exact"/>
              <w:rPr>
                <w:sz w:val="20"/>
                <w:szCs w:val="20"/>
                <w:color w:val="auto"/>
              </w:rPr>
            </w:pPr>
            <w:r>
              <w:rPr>
                <w:rFonts w:ascii="Arial" w:cs="Arial" w:eastAsia="Arial" w:hAnsi="Arial"/>
                <w:sz w:val="13"/>
                <w:szCs w:val="13"/>
                <w:b w:val="1"/>
                <w:bCs w:val="1"/>
                <w:color w:val="auto"/>
              </w:rPr>
              <w:t>TABLE</w:t>
            </w:r>
          </w:p>
        </w:tc>
        <w:tc>
          <w:tcPr>
            <w:tcW w:w="1180" w:type="dxa"/>
            <w:vAlign w:val="bottom"/>
          </w:tcPr>
          <w:p>
            <w:pPr>
              <w:jc w:val="right"/>
              <w:ind w:right="128"/>
              <w:spacing w:after="0" w:line="135" w:lineRule="exact"/>
              <w:rPr>
                <w:sz w:val="20"/>
                <w:szCs w:val="20"/>
                <w:color w:val="auto"/>
              </w:rPr>
            </w:pPr>
            <w:r>
              <w:rPr>
                <w:rFonts w:ascii="Arial" w:cs="Arial" w:eastAsia="Arial" w:hAnsi="Arial"/>
                <w:sz w:val="13"/>
                <w:szCs w:val="13"/>
                <w:b w:val="1"/>
                <w:bCs w:val="1"/>
                <w:color w:val="auto"/>
              </w:rPr>
              <w:t>ACTUALLY</w:t>
            </w:r>
          </w:p>
        </w:tc>
        <w:tc>
          <w:tcPr>
            <w:tcW w:w="240" w:type="dxa"/>
            <w:vAlign w:val="bottom"/>
          </w:tcPr>
          <w:p>
            <w:pPr>
              <w:spacing w:after="0"/>
              <w:rPr>
                <w:sz w:val="11"/>
                <w:szCs w:val="11"/>
                <w:color w:val="auto"/>
              </w:rPr>
            </w:pPr>
          </w:p>
        </w:tc>
        <w:tc>
          <w:tcPr>
            <w:tcW w:w="860" w:type="dxa"/>
            <w:vAlign w:val="bottom"/>
          </w:tcPr>
          <w:p>
            <w:pPr>
              <w:jc w:val="right"/>
              <w:ind w:right="111"/>
              <w:spacing w:after="0" w:line="135" w:lineRule="exact"/>
              <w:rPr>
                <w:sz w:val="20"/>
                <w:szCs w:val="20"/>
                <w:color w:val="auto"/>
              </w:rPr>
            </w:pPr>
            <w:r>
              <w:rPr>
                <w:rFonts w:ascii="Arial" w:cs="Arial" w:eastAsia="Arial" w:hAnsi="Arial"/>
                <w:sz w:val="13"/>
                <w:szCs w:val="13"/>
                <w:b w:val="1"/>
                <w:bCs w:val="1"/>
                <w:color w:val="auto"/>
              </w:rPr>
              <w:t>FOR NON-</w:t>
            </w:r>
          </w:p>
        </w:tc>
        <w:tc>
          <w:tcPr>
            <w:tcW w:w="240" w:type="dxa"/>
            <w:vAlign w:val="bottom"/>
          </w:tcPr>
          <w:p>
            <w:pPr>
              <w:spacing w:after="0"/>
              <w:rPr>
                <w:sz w:val="11"/>
                <w:szCs w:val="11"/>
                <w:color w:val="auto"/>
              </w:rPr>
            </w:pPr>
          </w:p>
        </w:tc>
        <w:tc>
          <w:tcPr>
            <w:tcW w:w="1000" w:type="dxa"/>
            <w:vAlign w:val="bottom"/>
          </w:tcPr>
          <w:p>
            <w:pPr>
              <w:jc w:val="right"/>
              <w:ind w:right="250"/>
              <w:spacing w:after="0" w:line="135" w:lineRule="exact"/>
              <w:rPr>
                <w:sz w:val="20"/>
                <w:szCs w:val="20"/>
                <w:color w:val="auto"/>
              </w:rPr>
            </w:pPr>
            <w:r>
              <w:rPr>
                <w:rFonts w:ascii="Arial" w:cs="Arial" w:eastAsia="Arial" w:hAnsi="Arial"/>
                <w:sz w:val="13"/>
                <w:szCs w:val="13"/>
                <w:b w:val="1"/>
                <w:bCs w:val="1"/>
                <w:color w:val="auto"/>
              </w:rPr>
              <w:t>PAID TO</w:t>
            </w:r>
          </w:p>
        </w:tc>
        <w:tc>
          <w:tcPr>
            <w:tcW w:w="62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2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0" w:type="dxa"/>
            <w:vAlign w:val="bottom"/>
          </w:tcPr>
          <w:p>
            <w:pPr>
              <w:spacing w:after="0"/>
              <w:rPr>
                <w:sz w:val="12"/>
                <w:szCs w:val="12"/>
                <w:color w:val="auto"/>
              </w:rPr>
            </w:pPr>
          </w:p>
        </w:tc>
        <w:tc>
          <w:tcPr>
            <w:tcW w:w="1200" w:type="dxa"/>
            <w:vAlign w:val="bottom"/>
          </w:tcPr>
          <w:p>
            <w:pPr>
              <w:jc w:val="right"/>
              <w:ind w:right="109"/>
              <w:spacing w:after="0" w:line="143" w:lineRule="exact"/>
              <w:rPr>
                <w:sz w:val="20"/>
                <w:szCs w:val="20"/>
                <w:color w:val="auto"/>
              </w:rPr>
            </w:pPr>
            <w:r>
              <w:rPr>
                <w:rFonts w:ascii="Arial" w:cs="Arial" w:eastAsia="Arial" w:hAnsi="Arial"/>
                <w:sz w:val="13"/>
                <w:szCs w:val="13"/>
                <w:b w:val="1"/>
                <w:bCs w:val="1"/>
                <w:color w:val="auto"/>
              </w:rPr>
              <w:t>TOTAL FOR</w:t>
            </w:r>
          </w:p>
        </w:tc>
        <w:tc>
          <w:tcPr>
            <w:tcW w:w="1180" w:type="dxa"/>
            <w:vAlign w:val="bottom"/>
          </w:tcPr>
          <w:p>
            <w:pPr>
              <w:jc w:val="right"/>
              <w:ind w:right="128"/>
              <w:spacing w:after="0" w:line="143" w:lineRule="exact"/>
              <w:rPr>
                <w:sz w:val="20"/>
                <w:szCs w:val="20"/>
                <w:color w:val="auto"/>
              </w:rPr>
            </w:pPr>
            <w:r>
              <w:rPr>
                <w:rFonts w:ascii="Arial" w:cs="Arial" w:eastAsia="Arial" w:hAnsi="Arial"/>
                <w:sz w:val="13"/>
                <w:szCs w:val="13"/>
                <w:b w:val="1"/>
                <w:bCs w:val="1"/>
                <w:color w:val="auto"/>
              </w:rPr>
              <w:t>PAID TO</w:t>
            </w:r>
          </w:p>
        </w:tc>
        <w:tc>
          <w:tcPr>
            <w:tcW w:w="240" w:type="dxa"/>
            <w:vAlign w:val="bottom"/>
          </w:tcPr>
          <w:p>
            <w:pPr>
              <w:spacing w:after="0"/>
              <w:rPr>
                <w:sz w:val="12"/>
                <w:szCs w:val="12"/>
                <w:color w:val="auto"/>
              </w:rPr>
            </w:pPr>
          </w:p>
        </w:tc>
        <w:tc>
          <w:tcPr>
            <w:tcW w:w="860" w:type="dxa"/>
            <w:vAlign w:val="bottom"/>
          </w:tcPr>
          <w:p>
            <w:pPr>
              <w:jc w:val="right"/>
              <w:ind w:right="111"/>
              <w:spacing w:after="0" w:line="143" w:lineRule="exact"/>
              <w:rPr>
                <w:sz w:val="20"/>
                <w:szCs w:val="20"/>
                <w:color w:val="auto"/>
              </w:rPr>
            </w:pPr>
            <w:r>
              <w:rPr>
                <w:rFonts w:ascii="Arial" w:cs="Arial" w:eastAsia="Arial" w:hAnsi="Arial"/>
                <w:sz w:val="13"/>
                <w:szCs w:val="13"/>
                <w:b w:val="1"/>
                <w:bCs w:val="1"/>
                <w:color w:val="auto"/>
              </w:rPr>
              <w:t>CEO</w:t>
            </w:r>
          </w:p>
        </w:tc>
        <w:tc>
          <w:tcPr>
            <w:tcW w:w="240" w:type="dxa"/>
            <w:vAlign w:val="bottom"/>
          </w:tcPr>
          <w:p>
            <w:pPr>
              <w:spacing w:after="0"/>
              <w:rPr>
                <w:sz w:val="12"/>
                <w:szCs w:val="12"/>
                <w:color w:val="auto"/>
              </w:rPr>
            </w:pPr>
          </w:p>
        </w:tc>
        <w:tc>
          <w:tcPr>
            <w:tcW w:w="1000" w:type="dxa"/>
            <w:vAlign w:val="bottom"/>
          </w:tcPr>
          <w:p>
            <w:pPr>
              <w:jc w:val="right"/>
              <w:ind w:right="250"/>
              <w:spacing w:after="0" w:line="143" w:lineRule="exact"/>
              <w:rPr>
                <w:sz w:val="20"/>
                <w:szCs w:val="20"/>
                <w:color w:val="auto"/>
              </w:rPr>
            </w:pPr>
            <w:r>
              <w:rPr>
                <w:rFonts w:ascii="Arial" w:cs="Arial" w:eastAsia="Arial" w:hAnsi="Arial"/>
                <w:sz w:val="13"/>
                <w:szCs w:val="13"/>
                <w:b w:val="1"/>
                <w:bCs w:val="1"/>
                <w:color w:val="auto"/>
              </w:rPr>
              <w:t>NON-CEO</w:t>
            </w:r>
          </w:p>
        </w:tc>
        <w:tc>
          <w:tcPr>
            <w:tcW w:w="620" w:type="dxa"/>
            <w:vAlign w:val="bottom"/>
          </w:tcPr>
          <w:p>
            <w:pPr>
              <w:spacing w:after="0"/>
              <w:rPr>
                <w:sz w:val="12"/>
                <w:szCs w:val="12"/>
                <w:color w:val="auto"/>
              </w:rPr>
            </w:pPr>
          </w:p>
        </w:tc>
        <w:tc>
          <w:tcPr>
            <w:tcW w:w="780" w:type="dxa"/>
            <w:vAlign w:val="bottom"/>
            <w:gridSpan w:val="2"/>
          </w:tcPr>
          <w:p>
            <w:pPr>
              <w:jc w:val="right"/>
              <w:ind w:right="180"/>
              <w:spacing w:after="0" w:line="143" w:lineRule="exact"/>
              <w:rPr>
                <w:sz w:val="20"/>
                <w:szCs w:val="20"/>
                <w:color w:val="auto"/>
              </w:rPr>
            </w:pPr>
            <w:r>
              <w:rPr>
                <w:rFonts w:ascii="Arial" w:cs="Arial" w:eastAsia="Arial" w:hAnsi="Arial"/>
                <w:sz w:val="13"/>
                <w:szCs w:val="13"/>
                <w:b w:val="1"/>
                <w:bCs w:val="1"/>
                <w:color w:val="auto"/>
              </w:rPr>
              <w:t>GROUP</w:t>
            </w:r>
          </w:p>
        </w:tc>
        <w:tc>
          <w:tcPr>
            <w:tcW w:w="1220" w:type="dxa"/>
            <w:vAlign w:val="bottom"/>
          </w:tcPr>
          <w:p>
            <w:pPr>
              <w:spacing w:after="0"/>
              <w:rPr>
                <w:sz w:val="12"/>
                <w:szCs w:val="12"/>
                <w:color w:val="auto"/>
              </w:rPr>
            </w:pPr>
          </w:p>
        </w:tc>
        <w:tc>
          <w:tcPr>
            <w:tcW w:w="1260" w:type="dxa"/>
            <w:vAlign w:val="bottom"/>
          </w:tcPr>
          <w:p>
            <w:pPr>
              <w:jc w:val="right"/>
              <w:ind w:right="87"/>
              <w:spacing w:after="0" w:line="143" w:lineRule="exact"/>
              <w:rPr>
                <w:sz w:val="20"/>
                <w:szCs w:val="20"/>
                <w:color w:val="auto"/>
              </w:rPr>
            </w:pPr>
            <w:r>
              <w:rPr>
                <w:rFonts w:ascii="Arial" w:cs="Arial" w:eastAsia="Arial" w:hAnsi="Arial"/>
                <w:sz w:val="13"/>
                <w:szCs w:val="13"/>
                <w:b w:val="1"/>
                <w:bCs w:val="1"/>
                <w:color w:val="auto"/>
              </w:rPr>
              <w:t>OPERATING</w:t>
            </w:r>
          </w:p>
        </w:tc>
        <w:tc>
          <w:tcPr>
            <w:tcW w:w="0" w:type="dxa"/>
            <w:vAlign w:val="bottom"/>
          </w:tcPr>
          <w:p>
            <w:pPr>
              <w:spacing w:after="0"/>
              <w:rPr>
                <w:sz w:val="1"/>
                <w:szCs w:val="1"/>
                <w:color w:val="auto"/>
              </w:rPr>
            </w:pPr>
          </w:p>
        </w:tc>
      </w:tr>
      <w:tr>
        <w:trPr>
          <w:trHeight w:val="267"/>
        </w:trPr>
        <w:tc>
          <w:tcPr>
            <w:tcW w:w="800" w:type="dxa"/>
            <w:vAlign w:val="bottom"/>
          </w:tcPr>
          <w:p>
            <w:pPr>
              <w:ind w:left="160"/>
              <w:spacing w:after="0"/>
              <w:rPr>
                <w:sz w:val="20"/>
                <w:szCs w:val="20"/>
                <w:color w:val="auto"/>
              </w:rPr>
            </w:pPr>
            <w:r>
              <w:rPr>
                <w:rFonts w:ascii="Arial" w:cs="Arial" w:eastAsia="Arial" w:hAnsi="Arial"/>
                <w:sz w:val="13"/>
                <w:szCs w:val="13"/>
                <w:b w:val="1"/>
                <w:bCs w:val="1"/>
                <w:color w:val="auto"/>
              </w:rPr>
              <w:t>YEAR</w:t>
            </w:r>
          </w:p>
        </w:tc>
        <w:tc>
          <w:tcPr>
            <w:tcW w:w="1200" w:type="dxa"/>
            <w:vAlign w:val="bottom"/>
          </w:tcPr>
          <w:p>
            <w:pPr>
              <w:jc w:val="right"/>
              <w:ind w:right="69"/>
              <w:spacing w:after="0"/>
              <w:rPr>
                <w:sz w:val="20"/>
                <w:szCs w:val="20"/>
                <w:color w:val="auto"/>
              </w:rPr>
            </w:pPr>
            <w:r>
              <w:rPr>
                <w:rFonts w:ascii="Arial" w:cs="Arial" w:eastAsia="Arial" w:hAnsi="Arial"/>
                <w:sz w:val="13"/>
                <w:szCs w:val="13"/>
                <w:b w:val="1"/>
                <w:bCs w:val="1"/>
                <w:color w:val="auto"/>
              </w:rPr>
              <w:t>CEO</w:t>
            </w:r>
            <w:r>
              <w:rPr>
                <w:rFonts w:ascii="Arial" w:cs="Arial" w:eastAsia="Arial" w:hAnsi="Arial"/>
                <w:sz w:val="20"/>
                <w:szCs w:val="20"/>
                <w:b w:val="1"/>
                <w:bCs w:val="1"/>
                <w:color w:val="auto"/>
                <w:vertAlign w:val="superscript"/>
              </w:rPr>
              <w:t>(1)</w:t>
            </w:r>
          </w:p>
        </w:tc>
        <w:tc>
          <w:tcPr>
            <w:tcW w:w="1180" w:type="dxa"/>
            <w:vAlign w:val="bottom"/>
          </w:tcPr>
          <w:p>
            <w:pPr>
              <w:jc w:val="right"/>
              <w:ind w:right="88"/>
              <w:spacing w:after="0"/>
              <w:rPr>
                <w:sz w:val="20"/>
                <w:szCs w:val="20"/>
                <w:color w:val="auto"/>
              </w:rPr>
            </w:pPr>
            <w:r>
              <w:rPr>
                <w:rFonts w:ascii="Arial" w:cs="Arial" w:eastAsia="Arial" w:hAnsi="Arial"/>
                <w:sz w:val="13"/>
                <w:szCs w:val="13"/>
                <w:b w:val="1"/>
                <w:bCs w:val="1"/>
                <w:color w:val="auto"/>
              </w:rPr>
              <w:t>CEO</w:t>
            </w:r>
            <w:r>
              <w:rPr>
                <w:rFonts w:ascii="Arial" w:cs="Arial" w:eastAsia="Arial" w:hAnsi="Arial"/>
                <w:sz w:val="20"/>
                <w:szCs w:val="20"/>
                <w:b w:val="1"/>
                <w:bCs w:val="1"/>
                <w:color w:val="auto"/>
                <w:vertAlign w:val="superscript"/>
              </w:rPr>
              <w:t>(2)</w:t>
            </w:r>
          </w:p>
        </w:tc>
        <w:tc>
          <w:tcPr>
            <w:tcW w:w="240" w:type="dxa"/>
            <w:vAlign w:val="bottom"/>
          </w:tcPr>
          <w:p>
            <w:pPr>
              <w:spacing w:after="0"/>
              <w:rPr>
                <w:sz w:val="23"/>
                <w:szCs w:val="23"/>
                <w:color w:val="auto"/>
              </w:rPr>
            </w:pPr>
          </w:p>
        </w:tc>
        <w:tc>
          <w:tcPr>
            <w:tcW w:w="860" w:type="dxa"/>
            <w:vAlign w:val="bottom"/>
          </w:tcPr>
          <w:p>
            <w:pPr>
              <w:jc w:val="right"/>
              <w:ind w:right="71"/>
              <w:spacing w:after="0"/>
              <w:rPr>
                <w:sz w:val="20"/>
                <w:szCs w:val="20"/>
                <w:color w:val="auto"/>
              </w:rPr>
            </w:pPr>
            <w:r>
              <w:rPr>
                <w:rFonts w:ascii="Arial" w:cs="Arial" w:eastAsia="Arial" w:hAnsi="Arial"/>
                <w:sz w:val="13"/>
                <w:szCs w:val="13"/>
                <w:b w:val="1"/>
                <w:bCs w:val="1"/>
                <w:color w:val="auto"/>
              </w:rPr>
              <w:t>NEOS</w:t>
            </w:r>
            <w:r>
              <w:rPr>
                <w:rFonts w:ascii="Arial" w:cs="Arial" w:eastAsia="Arial" w:hAnsi="Arial"/>
                <w:sz w:val="20"/>
                <w:szCs w:val="20"/>
                <w:b w:val="1"/>
                <w:bCs w:val="1"/>
                <w:color w:val="auto"/>
                <w:vertAlign w:val="superscript"/>
              </w:rPr>
              <w:t>(3)</w:t>
            </w:r>
          </w:p>
        </w:tc>
        <w:tc>
          <w:tcPr>
            <w:tcW w:w="240" w:type="dxa"/>
            <w:vAlign w:val="bottom"/>
          </w:tcPr>
          <w:p>
            <w:pPr>
              <w:spacing w:after="0"/>
              <w:rPr>
                <w:sz w:val="23"/>
                <w:szCs w:val="23"/>
                <w:color w:val="auto"/>
              </w:rPr>
            </w:pPr>
          </w:p>
        </w:tc>
        <w:tc>
          <w:tcPr>
            <w:tcW w:w="1000" w:type="dxa"/>
            <w:vAlign w:val="bottom"/>
          </w:tcPr>
          <w:p>
            <w:pPr>
              <w:jc w:val="right"/>
              <w:ind w:right="210"/>
              <w:spacing w:after="0"/>
              <w:rPr>
                <w:sz w:val="20"/>
                <w:szCs w:val="20"/>
                <w:color w:val="auto"/>
              </w:rPr>
            </w:pPr>
            <w:r>
              <w:rPr>
                <w:rFonts w:ascii="Arial" w:cs="Arial" w:eastAsia="Arial" w:hAnsi="Arial"/>
                <w:sz w:val="13"/>
                <w:szCs w:val="13"/>
                <w:b w:val="1"/>
                <w:bCs w:val="1"/>
                <w:color w:val="auto"/>
              </w:rPr>
              <w:t>NEOS</w:t>
            </w:r>
            <w:r>
              <w:rPr>
                <w:rFonts w:ascii="Arial" w:cs="Arial" w:eastAsia="Arial" w:hAnsi="Arial"/>
                <w:sz w:val="20"/>
                <w:szCs w:val="20"/>
                <w:b w:val="1"/>
                <w:bCs w:val="1"/>
                <w:color w:val="auto"/>
                <w:vertAlign w:val="superscript"/>
              </w:rPr>
              <w:t>(4)</w:t>
            </w:r>
          </w:p>
        </w:tc>
        <w:tc>
          <w:tcPr>
            <w:tcW w:w="620" w:type="dxa"/>
            <w:vAlign w:val="bottom"/>
          </w:tcPr>
          <w:p>
            <w:pPr>
              <w:jc w:val="right"/>
              <w:ind w:right="50"/>
              <w:spacing w:after="0"/>
              <w:rPr>
                <w:sz w:val="20"/>
                <w:szCs w:val="20"/>
                <w:color w:val="auto"/>
              </w:rPr>
            </w:pPr>
            <w:r>
              <w:rPr>
                <w:rFonts w:ascii="Arial" w:cs="Arial" w:eastAsia="Arial" w:hAnsi="Arial"/>
                <w:sz w:val="13"/>
                <w:szCs w:val="13"/>
                <w:b w:val="1"/>
                <w:bCs w:val="1"/>
                <w:color w:val="auto"/>
              </w:rPr>
              <w:t>TSR</w:t>
            </w:r>
            <w:r>
              <w:rPr>
                <w:rFonts w:ascii="Arial" w:cs="Arial" w:eastAsia="Arial" w:hAnsi="Arial"/>
                <w:sz w:val="20"/>
                <w:szCs w:val="20"/>
                <w:b w:val="1"/>
                <w:bCs w:val="1"/>
                <w:color w:val="auto"/>
                <w:vertAlign w:val="superscript"/>
              </w:rPr>
              <w:t>(5)</w:t>
            </w:r>
          </w:p>
        </w:tc>
        <w:tc>
          <w:tcPr>
            <w:tcW w:w="78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rPr>
              <w:t>TSR</w:t>
            </w:r>
            <w:r>
              <w:rPr>
                <w:rFonts w:ascii="Arial" w:cs="Arial" w:eastAsia="Arial" w:hAnsi="Arial"/>
                <w:sz w:val="20"/>
                <w:szCs w:val="20"/>
                <w:b w:val="1"/>
                <w:bCs w:val="1"/>
                <w:color w:val="auto"/>
                <w:vertAlign w:val="superscript"/>
              </w:rPr>
              <w:t>(6)</w:t>
            </w:r>
          </w:p>
        </w:tc>
        <w:tc>
          <w:tcPr>
            <w:tcW w:w="1220" w:type="dxa"/>
            <w:vAlign w:val="bottom"/>
          </w:tcPr>
          <w:p>
            <w:pPr>
              <w:jc w:val="right"/>
              <w:ind w:right="84"/>
              <w:spacing w:after="0"/>
              <w:rPr>
                <w:sz w:val="20"/>
                <w:szCs w:val="20"/>
                <w:color w:val="auto"/>
              </w:rPr>
            </w:pPr>
            <w:r>
              <w:rPr>
                <w:rFonts w:ascii="Arial" w:cs="Arial" w:eastAsia="Arial" w:hAnsi="Arial"/>
                <w:sz w:val="13"/>
                <w:szCs w:val="13"/>
                <w:b w:val="1"/>
                <w:bCs w:val="1"/>
                <w:color w:val="auto"/>
              </w:rPr>
              <w:t>NET INCOME</w:t>
            </w:r>
            <w:r>
              <w:rPr>
                <w:rFonts w:ascii="Arial" w:cs="Arial" w:eastAsia="Arial" w:hAnsi="Arial"/>
                <w:sz w:val="20"/>
                <w:szCs w:val="20"/>
                <w:b w:val="1"/>
                <w:bCs w:val="1"/>
                <w:color w:val="auto"/>
                <w:vertAlign w:val="superscript"/>
              </w:rPr>
              <w:t>(7)</w:t>
            </w:r>
          </w:p>
        </w:tc>
        <w:tc>
          <w:tcPr>
            <w:tcW w:w="1260" w:type="dxa"/>
            <w:vAlign w:val="bottom"/>
          </w:tcPr>
          <w:p>
            <w:pPr>
              <w:jc w:val="right"/>
              <w:ind w:right="47"/>
              <w:spacing w:after="0"/>
              <w:rPr>
                <w:sz w:val="20"/>
                <w:szCs w:val="20"/>
                <w:color w:val="auto"/>
              </w:rPr>
            </w:pPr>
            <w:r>
              <w:rPr>
                <w:rFonts w:ascii="Arial" w:cs="Arial" w:eastAsia="Arial" w:hAnsi="Arial"/>
                <w:sz w:val="13"/>
                <w:szCs w:val="13"/>
                <w:b w:val="1"/>
                <w:bCs w:val="1"/>
                <w:color w:val="auto"/>
              </w:rPr>
              <w:t>INCOME</w:t>
            </w:r>
            <w:r>
              <w:rPr>
                <w:rFonts w:ascii="Arial" w:cs="Arial" w:eastAsia="Arial" w:hAnsi="Arial"/>
                <w:sz w:val="20"/>
                <w:szCs w:val="20"/>
                <w:b w:val="1"/>
                <w:bCs w:val="1"/>
                <w:color w:val="auto"/>
                <w:vertAlign w:val="superscript"/>
              </w:rPr>
              <w:t>(8)</w:t>
            </w:r>
          </w:p>
        </w:tc>
        <w:tc>
          <w:tcPr>
            <w:tcW w:w="0" w:type="dxa"/>
            <w:vAlign w:val="bottom"/>
          </w:tcPr>
          <w:p>
            <w:pPr>
              <w:spacing w:after="0"/>
              <w:rPr>
                <w:sz w:val="1"/>
                <w:szCs w:val="1"/>
                <w:color w:val="auto"/>
              </w:rPr>
            </w:pPr>
          </w:p>
        </w:tc>
      </w:tr>
      <w:tr>
        <w:trPr>
          <w:trHeight w:val="290"/>
        </w:trPr>
        <w:tc>
          <w:tcPr>
            <w:tcW w:w="800" w:type="dxa"/>
            <w:vAlign w:val="bottom"/>
            <w:shd w:val="clear" w:color="auto" w:fill="E6E6E6"/>
          </w:tcPr>
          <w:p>
            <w:pPr>
              <w:ind w:left="160"/>
              <w:spacing w:after="0"/>
              <w:rPr>
                <w:sz w:val="20"/>
                <w:szCs w:val="20"/>
                <w:color w:val="auto"/>
              </w:rPr>
            </w:pPr>
            <w:r>
              <w:rPr>
                <w:rFonts w:ascii="Arial" w:cs="Arial" w:eastAsia="Arial" w:hAnsi="Arial"/>
                <w:sz w:val="16"/>
                <w:szCs w:val="16"/>
                <w:b w:val="1"/>
                <w:bCs w:val="1"/>
                <w:color w:val="auto"/>
              </w:rPr>
              <w:t>FY26</w:t>
            </w:r>
          </w:p>
        </w:tc>
        <w:tc>
          <w:tcPr>
            <w:tcW w:w="1200" w:type="dxa"/>
            <w:vAlign w:val="bottom"/>
            <w:shd w:val="clear" w:color="auto" w:fill="E6E6E6"/>
          </w:tcPr>
          <w:p>
            <w:pPr>
              <w:jc w:val="right"/>
              <w:ind w:right="69"/>
              <w:spacing w:after="0"/>
              <w:rPr>
                <w:sz w:val="20"/>
                <w:szCs w:val="20"/>
                <w:color w:val="auto"/>
              </w:rPr>
            </w:pPr>
            <w:r>
              <w:rPr>
                <w:rFonts w:ascii="Arial" w:cs="Arial" w:eastAsia="Arial" w:hAnsi="Arial"/>
                <w:sz w:val="16"/>
                <w:szCs w:val="16"/>
                <w:color w:val="auto"/>
              </w:rPr>
              <w:t>$5,228,254</w:t>
            </w:r>
          </w:p>
        </w:tc>
        <w:tc>
          <w:tcPr>
            <w:tcW w:w="1180" w:type="dxa"/>
            <w:vAlign w:val="bottom"/>
            <w:shd w:val="clear" w:color="auto" w:fill="E6E6E6"/>
          </w:tcPr>
          <w:p>
            <w:pPr>
              <w:jc w:val="right"/>
              <w:ind w:right="88"/>
              <w:spacing w:after="0"/>
              <w:rPr>
                <w:sz w:val="20"/>
                <w:szCs w:val="20"/>
                <w:color w:val="auto"/>
              </w:rPr>
            </w:pPr>
            <w:r>
              <w:rPr>
                <w:rFonts w:ascii="Arial" w:cs="Arial" w:eastAsia="Arial" w:hAnsi="Arial"/>
                <w:sz w:val="16"/>
                <w:szCs w:val="16"/>
                <w:color w:val="auto"/>
              </w:rPr>
              <w:t>$ 7,266,043</w:t>
            </w:r>
          </w:p>
        </w:tc>
        <w:tc>
          <w:tcPr>
            <w:tcW w:w="2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E6E6E6"/>
          </w:tcPr>
          <w:p>
            <w:pPr>
              <w:jc w:val="right"/>
              <w:ind w:right="71"/>
              <w:spacing w:after="0"/>
              <w:rPr>
                <w:sz w:val="20"/>
                <w:szCs w:val="20"/>
                <w:color w:val="auto"/>
              </w:rPr>
            </w:pPr>
            <w:r>
              <w:rPr>
                <w:rFonts w:ascii="Arial" w:cs="Arial" w:eastAsia="Arial" w:hAnsi="Arial"/>
                <w:sz w:val="16"/>
                <w:szCs w:val="16"/>
                <w:color w:val="auto"/>
                <w:w w:val="98"/>
              </w:rPr>
              <w:t>1,310,512</w:t>
            </w:r>
          </w:p>
        </w:tc>
        <w:tc>
          <w:tcPr>
            <w:tcW w:w="2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6E6E6"/>
          </w:tcPr>
          <w:p>
            <w:pPr>
              <w:jc w:val="right"/>
              <w:ind w:right="210"/>
              <w:spacing w:after="0"/>
              <w:rPr>
                <w:sz w:val="20"/>
                <w:szCs w:val="20"/>
                <w:color w:val="auto"/>
              </w:rPr>
            </w:pPr>
            <w:r>
              <w:rPr>
                <w:rFonts w:ascii="Arial" w:cs="Arial" w:eastAsia="Arial" w:hAnsi="Arial"/>
                <w:sz w:val="16"/>
                <w:szCs w:val="16"/>
                <w:color w:val="auto"/>
                <w:w w:val="98"/>
              </w:rPr>
              <w:t>1,690,787</w:t>
            </w:r>
          </w:p>
        </w:tc>
        <w:tc>
          <w:tcPr>
            <w:tcW w:w="620" w:type="dxa"/>
            <w:vAlign w:val="bottom"/>
            <w:shd w:val="clear" w:color="auto" w:fill="E6E6E6"/>
          </w:tcPr>
          <w:p>
            <w:pPr>
              <w:jc w:val="right"/>
              <w:ind w:right="50"/>
              <w:spacing w:after="0"/>
              <w:rPr>
                <w:sz w:val="20"/>
                <w:szCs w:val="20"/>
                <w:color w:val="auto"/>
              </w:rPr>
            </w:pPr>
            <w:r>
              <w:rPr>
                <w:rFonts w:ascii="Arial" w:cs="Arial" w:eastAsia="Arial" w:hAnsi="Arial"/>
                <w:sz w:val="16"/>
                <w:szCs w:val="16"/>
                <w:color w:val="auto"/>
                <w:w w:val="98"/>
              </w:rPr>
              <w:t>148.82</w:t>
            </w:r>
          </w:p>
        </w:tc>
        <w:tc>
          <w:tcPr>
            <w:tcW w:w="780" w:type="dxa"/>
            <w:vAlign w:val="bottom"/>
            <w:gridSpan w:val="2"/>
            <w:shd w:val="clear" w:color="auto" w:fill="E6E6E6"/>
          </w:tcPr>
          <w:p>
            <w:pPr>
              <w:jc w:val="right"/>
              <w:ind w:right="140"/>
              <w:spacing w:after="0"/>
              <w:rPr>
                <w:sz w:val="20"/>
                <w:szCs w:val="20"/>
                <w:color w:val="auto"/>
              </w:rPr>
            </w:pPr>
            <w:r>
              <w:rPr>
                <w:rFonts w:ascii="Arial" w:cs="Arial" w:eastAsia="Arial" w:hAnsi="Arial"/>
                <w:sz w:val="16"/>
                <w:szCs w:val="16"/>
                <w:color w:val="auto"/>
              </w:rPr>
              <w:t>134.81</w:t>
            </w:r>
          </w:p>
        </w:tc>
        <w:tc>
          <w:tcPr>
            <w:tcW w:w="1220" w:type="dxa"/>
            <w:vAlign w:val="bottom"/>
            <w:shd w:val="clear" w:color="auto" w:fill="E6E6E6"/>
          </w:tcPr>
          <w:p>
            <w:pPr>
              <w:jc w:val="right"/>
              <w:ind w:right="84"/>
              <w:spacing w:after="0"/>
              <w:rPr>
                <w:sz w:val="20"/>
                <w:szCs w:val="20"/>
                <w:color w:val="auto"/>
              </w:rPr>
            </w:pPr>
            <w:r>
              <w:rPr>
                <w:rFonts w:ascii="Arial" w:cs="Arial" w:eastAsia="Arial" w:hAnsi="Arial"/>
                <w:sz w:val="16"/>
                <w:szCs w:val="16"/>
                <w:color w:val="auto"/>
              </w:rPr>
              <w:t>$26,552,000</w:t>
            </w:r>
          </w:p>
        </w:tc>
        <w:tc>
          <w:tcPr>
            <w:tcW w:w="1260" w:type="dxa"/>
            <w:vAlign w:val="bottom"/>
            <w:shd w:val="clear" w:color="auto" w:fill="E6E6E6"/>
          </w:tcPr>
          <w:p>
            <w:pPr>
              <w:jc w:val="right"/>
              <w:ind w:right="47"/>
              <w:spacing w:after="0"/>
              <w:rPr>
                <w:sz w:val="20"/>
                <w:szCs w:val="20"/>
                <w:color w:val="auto"/>
              </w:rPr>
            </w:pPr>
            <w:r>
              <w:rPr>
                <w:rFonts w:ascii="Arial" w:cs="Arial" w:eastAsia="Arial" w:hAnsi="Arial"/>
                <w:sz w:val="16"/>
                <w:szCs w:val="16"/>
                <w:color w:val="auto"/>
              </w:rPr>
              <w:t>$ 34,847,000</w:t>
            </w:r>
          </w:p>
        </w:tc>
        <w:tc>
          <w:tcPr>
            <w:tcW w:w="0" w:type="dxa"/>
            <w:vAlign w:val="bottom"/>
          </w:tcPr>
          <w:p>
            <w:pPr>
              <w:spacing w:after="0"/>
              <w:rPr>
                <w:sz w:val="1"/>
                <w:szCs w:val="1"/>
                <w:color w:val="auto"/>
              </w:rPr>
            </w:pPr>
          </w:p>
        </w:tc>
      </w:tr>
      <w:tr>
        <w:trPr>
          <w:trHeight w:val="61"/>
        </w:trPr>
        <w:tc>
          <w:tcPr>
            <w:tcW w:w="800" w:type="dxa"/>
            <w:vAlign w:val="bottom"/>
            <w:shd w:val="clear" w:color="auto" w:fill="E6E6E6"/>
          </w:tcPr>
          <w:p>
            <w:pPr>
              <w:spacing w:after="0"/>
              <w:rPr>
                <w:sz w:val="5"/>
                <w:szCs w:val="5"/>
                <w:color w:val="auto"/>
              </w:rPr>
            </w:pPr>
          </w:p>
        </w:tc>
        <w:tc>
          <w:tcPr>
            <w:tcW w:w="1200" w:type="dxa"/>
            <w:vAlign w:val="bottom"/>
            <w:shd w:val="clear" w:color="auto" w:fill="E6E6E6"/>
          </w:tcPr>
          <w:p>
            <w:pPr>
              <w:spacing w:after="0"/>
              <w:rPr>
                <w:sz w:val="5"/>
                <w:szCs w:val="5"/>
                <w:color w:val="auto"/>
              </w:rPr>
            </w:pPr>
          </w:p>
        </w:tc>
        <w:tc>
          <w:tcPr>
            <w:tcW w:w="1180" w:type="dxa"/>
            <w:vAlign w:val="bottom"/>
            <w:shd w:val="clear" w:color="auto" w:fill="E6E6E6"/>
          </w:tcPr>
          <w:p>
            <w:pPr>
              <w:spacing w:after="0"/>
              <w:rPr>
                <w:sz w:val="5"/>
                <w:szCs w:val="5"/>
                <w:color w:val="auto"/>
              </w:rPr>
            </w:pPr>
          </w:p>
        </w:tc>
        <w:tc>
          <w:tcPr>
            <w:tcW w:w="240" w:type="dxa"/>
            <w:vAlign w:val="bottom"/>
            <w:shd w:val="clear" w:color="auto" w:fill="E6E6E6"/>
          </w:tcPr>
          <w:p>
            <w:pPr>
              <w:spacing w:after="0"/>
              <w:rPr>
                <w:sz w:val="5"/>
                <w:szCs w:val="5"/>
                <w:color w:val="auto"/>
              </w:rPr>
            </w:pPr>
          </w:p>
        </w:tc>
        <w:tc>
          <w:tcPr>
            <w:tcW w:w="860" w:type="dxa"/>
            <w:vAlign w:val="bottom"/>
            <w:shd w:val="clear" w:color="auto" w:fill="E6E6E6"/>
          </w:tcPr>
          <w:p>
            <w:pPr>
              <w:spacing w:after="0"/>
              <w:rPr>
                <w:sz w:val="5"/>
                <w:szCs w:val="5"/>
                <w:color w:val="auto"/>
              </w:rPr>
            </w:pPr>
          </w:p>
        </w:tc>
        <w:tc>
          <w:tcPr>
            <w:tcW w:w="240" w:type="dxa"/>
            <w:vAlign w:val="bottom"/>
            <w:shd w:val="clear" w:color="auto" w:fill="E6E6E6"/>
          </w:tcPr>
          <w:p>
            <w:pPr>
              <w:spacing w:after="0"/>
              <w:rPr>
                <w:sz w:val="5"/>
                <w:szCs w:val="5"/>
                <w:color w:val="auto"/>
              </w:rPr>
            </w:pPr>
          </w:p>
        </w:tc>
        <w:tc>
          <w:tcPr>
            <w:tcW w:w="1000" w:type="dxa"/>
            <w:vAlign w:val="bottom"/>
            <w:shd w:val="clear" w:color="auto" w:fill="E6E6E6"/>
          </w:tcPr>
          <w:p>
            <w:pPr>
              <w:spacing w:after="0"/>
              <w:rPr>
                <w:sz w:val="5"/>
                <w:szCs w:val="5"/>
                <w:color w:val="auto"/>
              </w:rPr>
            </w:pPr>
          </w:p>
        </w:tc>
        <w:tc>
          <w:tcPr>
            <w:tcW w:w="620" w:type="dxa"/>
            <w:vAlign w:val="bottom"/>
            <w:shd w:val="clear" w:color="auto" w:fill="E6E6E6"/>
          </w:tcPr>
          <w:p>
            <w:pPr>
              <w:spacing w:after="0"/>
              <w:rPr>
                <w:sz w:val="5"/>
                <w:szCs w:val="5"/>
                <w:color w:val="auto"/>
              </w:rPr>
            </w:pPr>
          </w:p>
        </w:tc>
        <w:tc>
          <w:tcPr>
            <w:tcW w:w="780" w:type="dxa"/>
            <w:vAlign w:val="bottom"/>
            <w:gridSpan w:val="2"/>
            <w:shd w:val="clear" w:color="auto" w:fill="E6E6E6"/>
          </w:tcPr>
          <w:p>
            <w:pPr>
              <w:spacing w:after="0"/>
              <w:rPr>
                <w:sz w:val="5"/>
                <w:szCs w:val="5"/>
                <w:color w:val="auto"/>
              </w:rPr>
            </w:pPr>
          </w:p>
        </w:tc>
        <w:tc>
          <w:tcPr>
            <w:tcW w:w="1220" w:type="dxa"/>
            <w:vAlign w:val="bottom"/>
            <w:shd w:val="clear" w:color="auto" w:fill="E6E6E6"/>
          </w:tcPr>
          <w:p>
            <w:pPr>
              <w:spacing w:after="0"/>
              <w:rPr>
                <w:sz w:val="5"/>
                <w:szCs w:val="5"/>
                <w:color w:val="auto"/>
              </w:rPr>
            </w:pPr>
          </w:p>
        </w:tc>
        <w:tc>
          <w:tcPr>
            <w:tcW w:w="126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800" w:type="dxa"/>
            <w:vAlign w:val="bottom"/>
          </w:tcPr>
          <w:p>
            <w:pPr>
              <w:ind w:left="160"/>
              <w:spacing w:after="0"/>
              <w:rPr>
                <w:sz w:val="20"/>
                <w:szCs w:val="20"/>
                <w:color w:val="auto"/>
              </w:rPr>
            </w:pPr>
            <w:r>
              <w:rPr>
                <w:rFonts w:ascii="Arial" w:cs="Arial" w:eastAsia="Arial" w:hAnsi="Arial"/>
                <w:sz w:val="16"/>
                <w:szCs w:val="16"/>
                <w:b w:val="1"/>
                <w:bCs w:val="1"/>
                <w:color w:val="auto"/>
              </w:rPr>
              <w:t>FY25</w:t>
            </w:r>
          </w:p>
        </w:tc>
        <w:tc>
          <w:tcPr>
            <w:tcW w:w="1200" w:type="dxa"/>
            <w:vAlign w:val="bottom"/>
          </w:tcPr>
          <w:p>
            <w:pPr>
              <w:jc w:val="right"/>
              <w:ind w:right="69"/>
              <w:spacing w:after="0"/>
              <w:rPr>
                <w:sz w:val="20"/>
                <w:szCs w:val="20"/>
                <w:color w:val="auto"/>
              </w:rPr>
            </w:pPr>
            <w:r>
              <w:rPr>
                <w:rFonts w:ascii="Arial" w:cs="Arial" w:eastAsia="Arial" w:hAnsi="Arial"/>
                <w:sz w:val="16"/>
                <w:szCs w:val="16"/>
                <w:color w:val="auto"/>
              </w:rPr>
              <w:t>$5,180,710</w:t>
            </w:r>
          </w:p>
        </w:tc>
        <w:tc>
          <w:tcPr>
            <w:tcW w:w="1180" w:type="dxa"/>
            <w:vAlign w:val="bottom"/>
          </w:tcPr>
          <w:p>
            <w:pPr>
              <w:jc w:val="right"/>
              <w:ind w:right="88"/>
              <w:spacing w:after="0"/>
              <w:rPr>
                <w:sz w:val="20"/>
                <w:szCs w:val="20"/>
                <w:color w:val="auto"/>
              </w:rPr>
            </w:pPr>
            <w:r>
              <w:rPr>
                <w:rFonts w:ascii="Arial" w:cs="Arial" w:eastAsia="Arial" w:hAnsi="Arial"/>
                <w:sz w:val="16"/>
                <w:szCs w:val="16"/>
                <w:color w:val="auto"/>
              </w:rPr>
              <w:t>$ 2,568,705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1"/>
              <w:spacing w:after="0"/>
              <w:rPr>
                <w:sz w:val="20"/>
                <w:szCs w:val="20"/>
                <w:color w:val="auto"/>
              </w:rPr>
            </w:pPr>
            <w:r>
              <w:rPr>
                <w:rFonts w:ascii="Arial" w:cs="Arial" w:eastAsia="Arial" w:hAnsi="Arial"/>
                <w:sz w:val="16"/>
                <w:szCs w:val="16"/>
                <w:color w:val="auto"/>
              </w:rPr>
              <w:t>987,238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0"/>
              <w:spacing w:after="0"/>
              <w:rPr>
                <w:sz w:val="20"/>
                <w:szCs w:val="20"/>
                <w:color w:val="auto"/>
              </w:rPr>
            </w:pPr>
            <w:r>
              <w:rPr>
                <w:rFonts w:ascii="Arial" w:cs="Arial" w:eastAsia="Arial" w:hAnsi="Arial"/>
                <w:sz w:val="16"/>
                <w:szCs w:val="16"/>
                <w:color w:val="auto"/>
              </w:rPr>
              <w:t>692,182</w:t>
            </w:r>
          </w:p>
        </w:tc>
        <w:tc>
          <w:tcPr>
            <w:tcW w:w="620" w:type="dxa"/>
            <w:vAlign w:val="bottom"/>
          </w:tcPr>
          <w:p>
            <w:pPr>
              <w:jc w:val="right"/>
              <w:ind w:right="50"/>
              <w:spacing w:after="0"/>
              <w:rPr>
                <w:sz w:val="20"/>
                <w:szCs w:val="20"/>
                <w:color w:val="auto"/>
              </w:rPr>
            </w:pPr>
            <w:r>
              <w:rPr>
                <w:rFonts w:ascii="Arial" w:cs="Arial" w:eastAsia="Arial" w:hAnsi="Arial"/>
                <w:sz w:val="16"/>
                <w:szCs w:val="16"/>
                <w:color w:val="auto"/>
                <w:w w:val="98"/>
              </w:rPr>
              <w:t>114.84</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116.41</w:t>
            </w:r>
          </w:p>
        </w:tc>
        <w:tc>
          <w:tcPr>
            <w:tcW w:w="1220" w:type="dxa"/>
            <w:vAlign w:val="bottom"/>
          </w:tcPr>
          <w:p>
            <w:pPr>
              <w:jc w:val="right"/>
              <w:ind w:right="84"/>
              <w:spacing w:after="0"/>
              <w:rPr>
                <w:sz w:val="20"/>
                <w:szCs w:val="20"/>
                <w:color w:val="auto"/>
              </w:rPr>
            </w:pPr>
            <w:r>
              <w:rPr>
                <w:rFonts w:ascii="Arial" w:cs="Arial" w:eastAsia="Arial" w:hAnsi="Arial"/>
                <w:sz w:val="16"/>
                <w:szCs w:val="16"/>
                <w:color w:val="auto"/>
              </w:rPr>
              <w:t>$18,364,000</w:t>
            </w:r>
          </w:p>
        </w:tc>
        <w:tc>
          <w:tcPr>
            <w:tcW w:w="1260" w:type="dxa"/>
            <w:vAlign w:val="bottom"/>
          </w:tcPr>
          <w:p>
            <w:pPr>
              <w:jc w:val="right"/>
              <w:ind w:right="47"/>
              <w:spacing w:after="0"/>
              <w:rPr>
                <w:sz w:val="20"/>
                <w:szCs w:val="20"/>
                <w:color w:val="auto"/>
              </w:rPr>
            </w:pPr>
            <w:r>
              <w:rPr>
                <w:rFonts w:ascii="Arial" w:cs="Arial" w:eastAsia="Arial" w:hAnsi="Arial"/>
                <w:sz w:val="16"/>
                <w:szCs w:val="16"/>
                <w:color w:val="auto"/>
              </w:rPr>
              <w:t>$ 27,067,000</w:t>
            </w:r>
          </w:p>
        </w:tc>
        <w:tc>
          <w:tcPr>
            <w:tcW w:w="0" w:type="dxa"/>
            <w:vAlign w:val="bottom"/>
          </w:tcPr>
          <w:p>
            <w:pPr>
              <w:spacing w:after="0"/>
              <w:rPr>
                <w:sz w:val="1"/>
                <w:szCs w:val="1"/>
                <w:color w:val="auto"/>
              </w:rPr>
            </w:pPr>
          </w:p>
        </w:tc>
      </w:tr>
      <w:tr>
        <w:trPr>
          <w:trHeight w:val="61"/>
        </w:trPr>
        <w:tc>
          <w:tcPr>
            <w:tcW w:w="8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gridSpan w:val="2"/>
          </w:tcPr>
          <w:p>
            <w:pPr>
              <w:spacing w:after="0"/>
              <w:rPr>
                <w:sz w:val="5"/>
                <w:szCs w:val="5"/>
                <w:color w:val="auto"/>
              </w:rPr>
            </w:pPr>
          </w:p>
        </w:tc>
        <w:tc>
          <w:tcPr>
            <w:tcW w:w="1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800" w:type="dxa"/>
            <w:vAlign w:val="bottom"/>
            <w:shd w:val="clear" w:color="auto" w:fill="E6E6E6"/>
          </w:tcPr>
          <w:p>
            <w:pPr>
              <w:ind w:left="160"/>
              <w:spacing w:after="0"/>
              <w:rPr>
                <w:sz w:val="20"/>
                <w:szCs w:val="20"/>
                <w:color w:val="auto"/>
              </w:rPr>
            </w:pPr>
            <w:r>
              <w:rPr>
                <w:rFonts w:ascii="Arial" w:cs="Arial" w:eastAsia="Arial" w:hAnsi="Arial"/>
                <w:sz w:val="16"/>
                <w:szCs w:val="16"/>
                <w:b w:val="1"/>
                <w:bCs w:val="1"/>
                <w:color w:val="auto"/>
              </w:rPr>
              <w:t>FY24</w:t>
            </w:r>
          </w:p>
        </w:tc>
        <w:tc>
          <w:tcPr>
            <w:tcW w:w="1200" w:type="dxa"/>
            <w:vAlign w:val="bottom"/>
            <w:shd w:val="clear" w:color="auto" w:fill="E6E6E6"/>
          </w:tcPr>
          <w:p>
            <w:pPr>
              <w:jc w:val="right"/>
              <w:ind w:right="69"/>
              <w:spacing w:after="0"/>
              <w:rPr>
                <w:sz w:val="20"/>
                <w:szCs w:val="20"/>
                <w:color w:val="auto"/>
              </w:rPr>
            </w:pPr>
            <w:r>
              <w:rPr>
                <w:rFonts w:ascii="Arial" w:cs="Arial" w:eastAsia="Arial" w:hAnsi="Arial"/>
                <w:sz w:val="16"/>
                <w:szCs w:val="16"/>
                <w:color w:val="auto"/>
              </w:rPr>
              <w:t>$5,091,430</w:t>
            </w:r>
          </w:p>
        </w:tc>
        <w:tc>
          <w:tcPr>
            <w:tcW w:w="1180" w:type="dxa"/>
            <w:vAlign w:val="bottom"/>
            <w:shd w:val="clear" w:color="auto" w:fill="E6E6E6"/>
          </w:tcPr>
          <w:p>
            <w:pPr>
              <w:jc w:val="right"/>
              <w:ind w:right="88"/>
              <w:spacing w:after="0"/>
              <w:rPr>
                <w:sz w:val="20"/>
                <w:szCs w:val="20"/>
                <w:color w:val="auto"/>
              </w:rPr>
            </w:pPr>
            <w:r>
              <w:rPr>
                <w:rFonts w:ascii="Arial" w:cs="Arial" w:eastAsia="Arial" w:hAnsi="Arial"/>
                <w:sz w:val="16"/>
                <w:szCs w:val="16"/>
                <w:color w:val="auto"/>
              </w:rPr>
              <w:t>$ 2,572,951</w:t>
            </w:r>
          </w:p>
        </w:tc>
        <w:tc>
          <w:tcPr>
            <w:tcW w:w="2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E6E6E6"/>
          </w:tcPr>
          <w:p>
            <w:pPr>
              <w:jc w:val="right"/>
              <w:ind w:right="71"/>
              <w:spacing w:after="0"/>
              <w:rPr>
                <w:sz w:val="20"/>
                <w:szCs w:val="20"/>
                <w:color w:val="auto"/>
              </w:rPr>
            </w:pPr>
            <w:r>
              <w:rPr>
                <w:rFonts w:ascii="Arial" w:cs="Arial" w:eastAsia="Arial" w:hAnsi="Arial"/>
                <w:sz w:val="16"/>
                <w:szCs w:val="16"/>
                <w:color w:val="auto"/>
                <w:w w:val="98"/>
              </w:rPr>
              <w:t>1,040,162</w:t>
            </w:r>
          </w:p>
        </w:tc>
        <w:tc>
          <w:tcPr>
            <w:tcW w:w="240" w:type="dxa"/>
            <w:vAlign w:val="bottom"/>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E6E6E6"/>
          </w:tcPr>
          <w:p>
            <w:pPr>
              <w:jc w:val="right"/>
              <w:ind w:right="210"/>
              <w:spacing w:after="0"/>
              <w:rPr>
                <w:sz w:val="20"/>
                <w:szCs w:val="20"/>
                <w:color w:val="auto"/>
              </w:rPr>
            </w:pPr>
            <w:r>
              <w:rPr>
                <w:rFonts w:ascii="Arial" w:cs="Arial" w:eastAsia="Arial" w:hAnsi="Arial"/>
                <w:sz w:val="16"/>
                <w:szCs w:val="16"/>
                <w:color w:val="auto"/>
              </w:rPr>
              <w:t>465,174</w:t>
            </w:r>
          </w:p>
        </w:tc>
        <w:tc>
          <w:tcPr>
            <w:tcW w:w="620" w:type="dxa"/>
            <w:vAlign w:val="bottom"/>
            <w:shd w:val="clear" w:color="auto" w:fill="E6E6E6"/>
          </w:tcPr>
          <w:p>
            <w:pPr>
              <w:jc w:val="right"/>
              <w:ind w:right="50"/>
              <w:spacing w:after="0"/>
              <w:rPr>
                <w:sz w:val="20"/>
                <w:szCs w:val="20"/>
                <w:color w:val="auto"/>
              </w:rPr>
            </w:pPr>
            <w:r>
              <w:rPr>
                <w:rFonts w:ascii="Arial" w:cs="Arial" w:eastAsia="Arial" w:hAnsi="Arial"/>
                <w:sz w:val="16"/>
                <w:szCs w:val="16"/>
                <w:color w:val="auto"/>
                <w:w w:val="98"/>
              </w:rPr>
              <w:t>155.72</w:t>
            </w:r>
          </w:p>
        </w:tc>
        <w:tc>
          <w:tcPr>
            <w:tcW w:w="780" w:type="dxa"/>
            <w:vAlign w:val="bottom"/>
            <w:gridSpan w:val="2"/>
            <w:shd w:val="clear" w:color="auto" w:fill="E6E6E6"/>
          </w:tcPr>
          <w:p>
            <w:pPr>
              <w:jc w:val="right"/>
              <w:ind w:right="140"/>
              <w:spacing w:after="0"/>
              <w:rPr>
                <w:sz w:val="20"/>
                <w:szCs w:val="20"/>
                <w:color w:val="auto"/>
              </w:rPr>
            </w:pPr>
            <w:r>
              <w:rPr>
                <w:rFonts w:ascii="Arial" w:cs="Arial" w:eastAsia="Arial" w:hAnsi="Arial"/>
                <w:sz w:val="16"/>
                <w:szCs w:val="16"/>
                <w:color w:val="auto"/>
              </w:rPr>
              <w:t>97.75</w:t>
            </w:r>
          </w:p>
        </w:tc>
        <w:tc>
          <w:tcPr>
            <w:tcW w:w="1220" w:type="dxa"/>
            <w:vAlign w:val="bottom"/>
            <w:shd w:val="clear" w:color="auto" w:fill="E6E6E6"/>
          </w:tcPr>
          <w:p>
            <w:pPr>
              <w:jc w:val="right"/>
              <w:ind w:right="84"/>
              <w:spacing w:after="0"/>
              <w:rPr>
                <w:sz w:val="20"/>
                <w:szCs w:val="20"/>
                <w:color w:val="auto"/>
              </w:rPr>
            </w:pPr>
            <w:r>
              <w:rPr>
                <w:rFonts w:ascii="Arial" w:cs="Arial" w:eastAsia="Arial" w:hAnsi="Arial"/>
                <w:sz w:val="16"/>
                <w:szCs w:val="16"/>
                <w:color w:val="auto"/>
              </w:rPr>
              <w:t>$41,345,000</w:t>
            </w:r>
          </w:p>
        </w:tc>
        <w:tc>
          <w:tcPr>
            <w:tcW w:w="1260" w:type="dxa"/>
            <w:vAlign w:val="bottom"/>
            <w:shd w:val="clear" w:color="auto" w:fill="E6E6E6"/>
          </w:tcPr>
          <w:p>
            <w:pPr>
              <w:jc w:val="right"/>
              <w:ind w:right="47"/>
              <w:spacing w:after="0"/>
              <w:rPr>
                <w:sz w:val="20"/>
                <w:szCs w:val="20"/>
                <w:color w:val="auto"/>
              </w:rPr>
            </w:pPr>
            <w:r>
              <w:rPr>
                <w:rFonts w:ascii="Arial" w:cs="Arial" w:eastAsia="Arial" w:hAnsi="Arial"/>
                <w:sz w:val="16"/>
                <w:szCs w:val="16"/>
                <w:color w:val="auto"/>
              </w:rPr>
              <w:t>$ 50,544,000</w:t>
            </w:r>
          </w:p>
        </w:tc>
        <w:tc>
          <w:tcPr>
            <w:tcW w:w="0" w:type="dxa"/>
            <w:vAlign w:val="bottom"/>
          </w:tcPr>
          <w:p>
            <w:pPr>
              <w:spacing w:after="0"/>
              <w:rPr>
                <w:sz w:val="1"/>
                <w:szCs w:val="1"/>
                <w:color w:val="auto"/>
              </w:rPr>
            </w:pPr>
          </w:p>
        </w:tc>
      </w:tr>
      <w:tr>
        <w:trPr>
          <w:trHeight w:val="61"/>
        </w:trPr>
        <w:tc>
          <w:tcPr>
            <w:tcW w:w="800" w:type="dxa"/>
            <w:vAlign w:val="bottom"/>
            <w:shd w:val="clear" w:color="auto" w:fill="E6E6E6"/>
          </w:tcPr>
          <w:p>
            <w:pPr>
              <w:spacing w:after="0"/>
              <w:rPr>
                <w:sz w:val="5"/>
                <w:szCs w:val="5"/>
                <w:color w:val="auto"/>
              </w:rPr>
            </w:pPr>
          </w:p>
        </w:tc>
        <w:tc>
          <w:tcPr>
            <w:tcW w:w="1200" w:type="dxa"/>
            <w:vAlign w:val="bottom"/>
            <w:shd w:val="clear" w:color="auto" w:fill="E6E6E6"/>
          </w:tcPr>
          <w:p>
            <w:pPr>
              <w:spacing w:after="0"/>
              <w:rPr>
                <w:sz w:val="5"/>
                <w:szCs w:val="5"/>
                <w:color w:val="auto"/>
              </w:rPr>
            </w:pPr>
          </w:p>
        </w:tc>
        <w:tc>
          <w:tcPr>
            <w:tcW w:w="1180" w:type="dxa"/>
            <w:vAlign w:val="bottom"/>
            <w:shd w:val="clear" w:color="auto" w:fill="E6E6E6"/>
          </w:tcPr>
          <w:p>
            <w:pPr>
              <w:spacing w:after="0"/>
              <w:rPr>
                <w:sz w:val="5"/>
                <w:szCs w:val="5"/>
                <w:color w:val="auto"/>
              </w:rPr>
            </w:pPr>
          </w:p>
        </w:tc>
        <w:tc>
          <w:tcPr>
            <w:tcW w:w="240" w:type="dxa"/>
            <w:vAlign w:val="bottom"/>
            <w:shd w:val="clear" w:color="auto" w:fill="E6E6E6"/>
          </w:tcPr>
          <w:p>
            <w:pPr>
              <w:spacing w:after="0"/>
              <w:rPr>
                <w:sz w:val="5"/>
                <w:szCs w:val="5"/>
                <w:color w:val="auto"/>
              </w:rPr>
            </w:pPr>
          </w:p>
        </w:tc>
        <w:tc>
          <w:tcPr>
            <w:tcW w:w="860" w:type="dxa"/>
            <w:vAlign w:val="bottom"/>
            <w:shd w:val="clear" w:color="auto" w:fill="E6E6E6"/>
          </w:tcPr>
          <w:p>
            <w:pPr>
              <w:spacing w:after="0"/>
              <w:rPr>
                <w:sz w:val="5"/>
                <w:szCs w:val="5"/>
                <w:color w:val="auto"/>
              </w:rPr>
            </w:pPr>
          </w:p>
        </w:tc>
        <w:tc>
          <w:tcPr>
            <w:tcW w:w="240" w:type="dxa"/>
            <w:vAlign w:val="bottom"/>
            <w:shd w:val="clear" w:color="auto" w:fill="E6E6E6"/>
          </w:tcPr>
          <w:p>
            <w:pPr>
              <w:spacing w:after="0"/>
              <w:rPr>
                <w:sz w:val="5"/>
                <w:szCs w:val="5"/>
                <w:color w:val="auto"/>
              </w:rPr>
            </w:pPr>
          </w:p>
        </w:tc>
        <w:tc>
          <w:tcPr>
            <w:tcW w:w="1000" w:type="dxa"/>
            <w:vAlign w:val="bottom"/>
            <w:shd w:val="clear" w:color="auto" w:fill="E6E6E6"/>
          </w:tcPr>
          <w:p>
            <w:pPr>
              <w:spacing w:after="0"/>
              <w:rPr>
                <w:sz w:val="5"/>
                <w:szCs w:val="5"/>
                <w:color w:val="auto"/>
              </w:rPr>
            </w:pPr>
          </w:p>
        </w:tc>
        <w:tc>
          <w:tcPr>
            <w:tcW w:w="620" w:type="dxa"/>
            <w:vAlign w:val="bottom"/>
            <w:shd w:val="clear" w:color="auto" w:fill="E6E6E6"/>
          </w:tcPr>
          <w:p>
            <w:pPr>
              <w:spacing w:after="0"/>
              <w:rPr>
                <w:sz w:val="5"/>
                <w:szCs w:val="5"/>
                <w:color w:val="auto"/>
              </w:rPr>
            </w:pPr>
          </w:p>
        </w:tc>
        <w:tc>
          <w:tcPr>
            <w:tcW w:w="780" w:type="dxa"/>
            <w:vAlign w:val="bottom"/>
            <w:gridSpan w:val="2"/>
            <w:shd w:val="clear" w:color="auto" w:fill="E6E6E6"/>
          </w:tcPr>
          <w:p>
            <w:pPr>
              <w:spacing w:after="0"/>
              <w:rPr>
                <w:sz w:val="5"/>
                <w:szCs w:val="5"/>
                <w:color w:val="auto"/>
              </w:rPr>
            </w:pPr>
          </w:p>
        </w:tc>
        <w:tc>
          <w:tcPr>
            <w:tcW w:w="1220" w:type="dxa"/>
            <w:vAlign w:val="bottom"/>
            <w:shd w:val="clear" w:color="auto" w:fill="E6E6E6"/>
          </w:tcPr>
          <w:p>
            <w:pPr>
              <w:spacing w:after="0"/>
              <w:rPr>
                <w:sz w:val="5"/>
                <w:szCs w:val="5"/>
                <w:color w:val="auto"/>
              </w:rPr>
            </w:pPr>
          </w:p>
        </w:tc>
        <w:tc>
          <w:tcPr>
            <w:tcW w:w="1260" w:type="dxa"/>
            <w:vAlign w:val="bottom"/>
            <w:shd w:val="clear" w:color="auto" w:fill="E6E6E6"/>
          </w:tcPr>
          <w:p>
            <w:pPr>
              <w:spacing w:after="0"/>
              <w:rPr>
                <w:sz w:val="5"/>
                <w:szCs w:val="5"/>
                <w:color w:val="auto"/>
              </w:rPr>
            </w:pPr>
          </w:p>
        </w:tc>
        <w:tc>
          <w:tcPr>
            <w:tcW w:w="0" w:type="dxa"/>
            <w:vAlign w:val="bottom"/>
          </w:tcPr>
          <w:p>
            <w:pPr>
              <w:spacing w:after="0"/>
              <w:rPr>
                <w:sz w:val="1"/>
                <w:szCs w:val="1"/>
                <w:color w:val="auto"/>
              </w:rPr>
            </w:pPr>
          </w:p>
        </w:tc>
      </w:tr>
      <w:tr>
        <w:trPr>
          <w:trHeight w:val="276"/>
        </w:trPr>
        <w:tc>
          <w:tcPr>
            <w:tcW w:w="800" w:type="dxa"/>
            <w:vAlign w:val="bottom"/>
          </w:tcPr>
          <w:p>
            <w:pPr>
              <w:ind w:left="160"/>
              <w:spacing w:after="0"/>
              <w:rPr>
                <w:sz w:val="20"/>
                <w:szCs w:val="20"/>
                <w:color w:val="auto"/>
              </w:rPr>
            </w:pPr>
            <w:r>
              <w:rPr>
                <w:rFonts w:ascii="Arial" w:cs="Arial" w:eastAsia="Arial" w:hAnsi="Arial"/>
                <w:sz w:val="16"/>
                <w:szCs w:val="16"/>
                <w:b w:val="1"/>
                <w:bCs w:val="1"/>
                <w:color w:val="auto"/>
              </w:rPr>
              <w:t>FY23</w:t>
            </w:r>
          </w:p>
        </w:tc>
        <w:tc>
          <w:tcPr>
            <w:tcW w:w="1200" w:type="dxa"/>
            <w:vAlign w:val="bottom"/>
          </w:tcPr>
          <w:p>
            <w:pPr>
              <w:jc w:val="right"/>
              <w:ind w:right="69"/>
              <w:spacing w:after="0"/>
              <w:rPr>
                <w:sz w:val="20"/>
                <w:szCs w:val="20"/>
                <w:color w:val="auto"/>
              </w:rPr>
            </w:pPr>
            <w:r>
              <w:rPr>
                <w:rFonts w:ascii="Arial" w:cs="Arial" w:eastAsia="Arial" w:hAnsi="Arial"/>
                <w:sz w:val="16"/>
                <w:szCs w:val="16"/>
                <w:color w:val="auto"/>
              </w:rPr>
              <w:t>$5,062,875</w:t>
            </w:r>
          </w:p>
        </w:tc>
        <w:tc>
          <w:tcPr>
            <w:tcW w:w="1180" w:type="dxa"/>
            <w:vAlign w:val="bottom"/>
          </w:tcPr>
          <w:p>
            <w:pPr>
              <w:jc w:val="right"/>
              <w:ind w:right="88"/>
              <w:spacing w:after="0"/>
              <w:rPr>
                <w:sz w:val="20"/>
                <w:szCs w:val="20"/>
                <w:color w:val="auto"/>
              </w:rPr>
            </w:pPr>
            <w:r>
              <w:rPr>
                <w:rFonts w:ascii="Arial" w:cs="Arial" w:eastAsia="Arial" w:hAnsi="Arial"/>
                <w:sz w:val="16"/>
                <w:szCs w:val="16"/>
                <w:color w:val="auto"/>
              </w:rPr>
              <w:t>$ 4,260,124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71"/>
              <w:spacing w:after="0"/>
              <w:rPr>
                <w:sz w:val="20"/>
                <w:szCs w:val="20"/>
                <w:color w:val="auto"/>
              </w:rPr>
            </w:pPr>
            <w:r>
              <w:rPr>
                <w:rFonts w:ascii="Arial" w:cs="Arial" w:eastAsia="Arial" w:hAnsi="Arial"/>
                <w:sz w:val="16"/>
                <w:szCs w:val="16"/>
                <w:color w:val="auto"/>
                <w:w w:val="98"/>
              </w:rPr>
              <w:t>1,161,122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10"/>
              <w:spacing w:after="0"/>
              <w:rPr>
                <w:sz w:val="20"/>
                <w:szCs w:val="20"/>
                <w:color w:val="auto"/>
              </w:rPr>
            </w:pPr>
            <w:r>
              <w:rPr>
                <w:rFonts w:ascii="Arial" w:cs="Arial" w:eastAsia="Arial" w:hAnsi="Arial"/>
                <w:sz w:val="16"/>
                <w:szCs w:val="16"/>
                <w:color w:val="auto"/>
              </w:rPr>
              <w:t>947,625</w:t>
            </w:r>
          </w:p>
        </w:tc>
        <w:tc>
          <w:tcPr>
            <w:tcW w:w="620" w:type="dxa"/>
            <w:vAlign w:val="bottom"/>
          </w:tcPr>
          <w:p>
            <w:pPr>
              <w:jc w:val="right"/>
              <w:ind w:right="50"/>
              <w:spacing w:after="0"/>
              <w:rPr>
                <w:sz w:val="20"/>
                <w:szCs w:val="20"/>
                <w:color w:val="auto"/>
              </w:rPr>
            </w:pPr>
            <w:r>
              <w:rPr>
                <w:rFonts w:ascii="Arial" w:cs="Arial" w:eastAsia="Arial" w:hAnsi="Arial"/>
                <w:sz w:val="16"/>
                <w:szCs w:val="16"/>
                <w:color w:val="auto"/>
                <w:w w:val="98"/>
              </w:rPr>
              <w:t>182.94</w:t>
            </w: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95.45</w:t>
            </w:r>
          </w:p>
        </w:tc>
        <w:tc>
          <w:tcPr>
            <w:tcW w:w="1220" w:type="dxa"/>
            <w:vAlign w:val="bottom"/>
          </w:tcPr>
          <w:p>
            <w:pPr>
              <w:jc w:val="right"/>
              <w:ind w:right="84"/>
              <w:spacing w:after="0"/>
              <w:rPr>
                <w:sz w:val="20"/>
                <w:szCs w:val="20"/>
                <w:color w:val="auto"/>
              </w:rPr>
            </w:pPr>
            <w:r>
              <w:rPr>
                <w:rFonts w:ascii="Arial" w:cs="Arial" w:eastAsia="Arial" w:hAnsi="Arial"/>
                <w:sz w:val="16"/>
                <w:szCs w:val="16"/>
                <w:color w:val="auto"/>
              </w:rPr>
              <w:t>$90,383,000</w:t>
            </w:r>
          </w:p>
        </w:tc>
        <w:tc>
          <w:tcPr>
            <w:tcW w:w="1260" w:type="dxa"/>
            <w:vAlign w:val="bottom"/>
          </w:tcPr>
          <w:p>
            <w:pPr>
              <w:jc w:val="right"/>
              <w:ind w:right="47"/>
              <w:spacing w:after="0"/>
              <w:rPr>
                <w:sz w:val="20"/>
                <w:szCs w:val="20"/>
                <w:color w:val="auto"/>
              </w:rPr>
            </w:pPr>
            <w:r>
              <w:rPr>
                <w:rFonts w:ascii="Arial" w:cs="Arial" w:eastAsia="Arial" w:hAnsi="Arial"/>
                <w:sz w:val="16"/>
                <w:szCs w:val="16"/>
                <w:color w:val="auto"/>
              </w:rPr>
              <w:t>$118,437,000</w:t>
            </w:r>
          </w:p>
        </w:tc>
        <w:tc>
          <w:tcPr>
            <w:tcW w:w="0" w:type="dxa"/>
            <w:vAlign w:val="bottom"/>
          </w:tcPr>
          <w:p>
            <w:pPr>
              <w:spacing w:after="0"/>
              <w:rPr>
                <w:sz w:val="1"/>
                <w:szCs w:val="1"/>
                <w:color w:val="auto"/>
              </w:rPr>
            </w:pPr>
          </w:p>
        </w:tc>
      </w:tr>
      <w:tr>
        <w:trPr>
          <w:trHeight w:val="61"/>
        </w:trPr>
        <w:tc>
          <w:tcPr>
            <w:tcW w:w="8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40" w:type="dxa"/>
            <w:vAlign w:val="bottom"/>
            <w:gridSpan w:val="2"/>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gridSpan w:val="2"/>
          </w:tcPr>
          <w:p>
            <w:pPr>
              <w:spacing w:after="0"/>
              <w:rPr>
                <w:sz w:val="5"/>
                <w:szCs w:val="5"/>
                <w:color w:val="auto"/>
              </w:rPr>
            </w:pPr>
          </w:p>
        </w:tc>
        <w:tc>
          <w:tcPr>
            <w:tcW w:w="12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80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6"/>
                <w:szCs w:val="16"/>
                <w:b w:val="1"/>
                <w:bCs w:val="1"/>
                <w:color w:val="auto"/>
              </w:rPr>
              <w:t>FY22</w:t>
            </w:r>
          </w:p>
        </w:tc>
        <w:tc>
          <w:tcPr>
            <w:tcW w:w="1200" w:type="dxa"/>
            <w:vAlign w:val="bottom"/>
            <w:tcBorders>
              <w:bottom w:val="single" w:sz="8" w:color="E6E6E6"/>
            </w:tcBorders>
            <w:shd w:val="clear" w:color="auto" w:fill="E6E6E6"/>
          </w:tcPr>
          <w:p>
            <w:pPr>
              <w:jc w:val="right"/>
              <w:ind w:right="69"/>
              <w:spacing w:after="0"/>
              <w:rPr>
                <w:sz w:val="20"/>
                <w:szCs w:val="20"/>
                <w:color w:val="auto"/>
              </w:rPr>
            </w:pPr>
            <w:r>
              <w:rPr>
                <w:rFonts w:ascii="Arial" w:cs="Arial" w:eastAsia="Arial" w:hAnsi="Arial"/>
                <w:sz w:val="16"/>
                <w:szCs w:val="16"/>
                <w:color w:val="auto"/>
              </w:rPr>
              <w:t>$7,212,004</w:t>
            </w:r>
          </w:p>
        </w:tc>
        <w:tc>
          <w:tcPr>
            <w:tcW w:w="1180" w:type="dxa"/>
            <w:vAlign w:val="bottom"/>
            <w:tcBorders>
              <w:bottom w:val="single" w:sz="8" w:color="E6E6E6"/>
            </w:tcBorders>
            <w:shd w:val="clear" w:color="auto" w:fill="E6E6E6"/>
          </w:tcPr>
          <w:p>
            <w:pPr>
              <w:jc w:val="right"/>
              <w:ind w:right="88"/>
              <w:spacing w:after="0"/>
              <w:rPr>
                <w:sz w:val="20"/>
                <w:szCs w:val="20"/>
                <w:color w:val="auto"/>
              </w:rPr>
            </w:pPr>
            <w:r>
              <w:rPr>
                <w:rFonts w:ascii="Arial" w:cs="Arial" w:eastAsia="Arial" w:hAnsi="Arial"/>
                <w:sz w:val="16"/>
                <w:szCs w:val="16"/>
                <w:color w:val="auto"/>
              </w:rPr>
              <w:t>$11,626,776</w:t>
            </w:r>
          </w:p>
        </w:tc>
        <w:tc>
          <w:tcPr>
            <w:tcW w:w="2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E6E6E6"/>
            </w:tcBorders>
            <w:shd w:val="clear" w:color="auto" w:fill="E6E6E6"/>
          </w:tcPr>
          <w:p>
            <w:pPr>
              <w:jc w:val="right"/>
              <w:ind w:right="71"/>
              <w:spacing w:after="0"/>
              <w:rPr>
                <w:sz w:val="20"/>
                <w:szCs w:val="20"/>
                <w:color w:val="auto"/>
              </w:rPr>
            </w:pPr>
            <w:r>
              <w:rPr>
                <w:rFonts w:ascii="Arial" w:cs="Arial" w:eastAsia="Arial" w:hAnsi="Arial"/>
                <w:sz w:val="16"/>
                <w:szCs w:val="16"/>
                <w:color w:val="auto"/>
                <w:w w:val="98"/>
              </w:rPr>
              <w:t>1,262,676</w:t>
            </w:r>
          </w:p>
        </w:tc>
        <w:tc>
          <w:tcPr>
            <w:tcW w:w="1240" w:type="dxa"/>
            <w:vAlign w:val="bottom"/>
            <w:tcBorders>
              <w:bottom w:val="single" w:sz="8" w:color="E6E6E6"/>
            </w:tcBorders>
            <w:gridSpan w:val="2"/>
            <w:shd w:val="clear" w:color="auto" w:fill="E6E6E6"/>
          </w:tcPr>
          <w:p>
            <w:pPr>
              <w:jc w:val="right"/>
              <w:ind w:right="210"/>
              <w:spacing w:after="0"/>
              <w:rPr>
                <w:sz w:val="20"/>
                <w:szCs w:val="20"/>
                <w:color w:val="auto"/>
              </w:rPr>
            </w:pPr>
            <w:r>
              <w:rPr>
                <w:rFonts w:ascii="Arial" w:cs="Arial" w:eastAsia="Arial" w:hAnsi="Arial"/>
                <w:sz w:val="16"/>
                <w:szCs w:val="16"/>
                <w:color w:val="auto"/>
              </w:rPr>
              <w:t>$2,411,382</w:t>
            </w:r>
          </w:p>
        </w:tc>
        <w:tc>
          <w:tcPr>
            <w:tcW w:w="620" w:type="dxa"/>
            <w:vAlign w:val="bottom"/>
            <w:tcBorders>
              <w:bottom w:val="single" w:sz="8" w:color="E6E6E6"/>
            </w:tcBorders>
            <w:shd w:val="clear" w:color="auto" w:fill="E6E6E6"/>
          </w:tcPr>
          <w:p>
            <w:pPr>
              <w:jc w:val="right"/>
              <w:ind w:right="50"/>
              <w:spacing w:after="0"/>
              <w:rPr>
                <w:sz w:val="20"/>
                <w:szCs w:val="20"/>
                <w:color w:val="auto"/>
              </w:rPr>
            </w:pPr>
            <w:r>
              <w:rPr>
                <w:rFonts w:ascii="Arial" w:cs="Arial" w:eastAsia="Arial" w:hAnsi="Arial"/>
                <w:sz w:val="16"/>
                <w:szCs w:val="16"/>
                <w:color w:val="auto"/>
                <w:w w:val="98"/>
              </w:rPr>
              <w:t>184.09</w:t>
            </w:r>
          </w:p>
        </w:tc>
        <w:tc>
          <w:tcPr>
            <w:tcW w:w="780" w:type="dxa"/>
            <w:vAlign w:val="bottom"/>
            <w:tcBorders>
              <w:bottom w:val="single" w:sz="8" w:color="E6E6E6"/>
            </w:tcBorders>
            <w:gridSpan w:val="2"/>
            <w:shd w:val="clear" w:color="auto" w:fill="E6E6E6"/>
          </w:tcPr>
          <w:p>
            <w:pPr>
              <w:jc w:val="right"/>
              <w:ind w:right="140"/>
              <w:spacing w:after="0"/>
              <w:rPr>
                <w:sz w:val="20"/>
                <w:szCs w:val="20"/>
                <w:color w:val="auto"/>
              </w:rPr>
            </w:pPr>
            <w:r>
              <w:rPr>
                <w:rFonts w:ascii="Arial" w:cs="Arial" w:eastAsia="Arial" w:hAnsi="Arial"/>
                <w:sz w:val="16"/>
                <w:szCs w:val="16"/>
                <w:color w:val="auto"/>
              </w:rPr>
              <w:t>98.79</w:t>
            </w:r>
          </w:p>
        </w:tc>
        <w:tc>
          <w:tcPr>
            <w:tcW w:w="1220" w:type="dxa"/>
            <w:vAlign w:val="bottom"/>
            <w:tcBorders>
              <w:bottom w:val="single" w:sz="8" w:color="E6E6E6"/>
            </w:tcBorders>
            <w:shd w:val="clear" w:color="auto" w:fill="E6E6E6"/>
          </w:tcPr>
          <w:p>
            <w:pPr>
              <w:jc w:val="right"/>
              <w:ind w:right="84"/>
              <w:spacing w:after="0"/>
              <w:rPr>
                <w:sz w:val="20"/>
                <w:szCs w:val="20"/>
                <w:color w:val="auto"/>
              </w:rPr>
            </w:pPr>
            <w:r>
              <w:rPr>
                <w:rFonts w:ascii="Arial" w:cs="Arial" w:eastAsia="Arial" w:hAnsi="Arial"/>
                <w:sz w:val="16"/>
                <w:szCs w:val="16"/>
                <w:color w:val="auto"/>
              </w:rPr>
              <w:t>$90,202,000</w:t>
            </w:r>
          </w:p>
        </w:tc>
        <w:tc>
          <w:tcPr>
            <w:tcW w:w="1260" w:type="dxa"/>
            <w:vAlign w:val="bottom"/>
            <w:tcBorders>
              <w:bottom w:val="single" w:sz="8" w:color="E6E6E6"/>
            </w:tcBorders>
            <w:shd w:val="clear" w:color="auto" w:fill="E6E6E6"/>
          </w:tcPr>
          <w:p>
            <w:pPr>
              <w:jc w:val="right"/>
              <w:ind w:right="47"/>
              <w:spacing w:after="0"/>
              <w:rPr>
                <w:sz w:val="20"/>
                <w:szCs w:val="20"/>
                <w:color w:val="auto"/>
              </w:rPr>
            </w:pPr>
            <w:r>
              <w:rPr>
                <w:rFonts w:ascii="Arial" w:cs="Arial" w:eastAsia="Arial" w:hAnsi="Arial"/>
                <w:sz w:val="16"/>
                <w:szCs w:val="16"/>
                <w:color w:val="auto"/>
              </w:rPr>
              <w:t>$118,144,000</w:t>
            </w:r>
          </w:p>
        </w:tc>
        <w:tc>
          <w:tcPr>
            <w:tcW w:w="0" w:type="dxa"/>
            <w:vAlign w:val="bottom"/>
          </w:tcPr>
          <w:p>
            <w:pPr>
              <w:spacing w:after="0"/>
              <w:rPr>
                <w:sz w:val="1"/>
                <w:szCs w:val="1"/>
                <w:color w:val="auto"/>
              </w:rPr>
            </w:pPr>
          </w:p>
        </w:tc>
      </w:tr>
      <w:tr>
        <w:trPr>
          <w:trHeight w:val="20"/>
        </w:trPr>
        <w:tc>
          <w:tcPr>
            <w:tcW w:w="800" w:type="dxa"/>
            <w:vAlign w:val="bottom"/>
            <w:shd w:val="clear" w:color="auto" w:fill="D9BA05"/>
          </w:tcPr>
          <w:p>
            <w:pPr>
              <w:spacing w:after="0" w:line="20" w:lineRule="exact"/>
              <w:rPr>
                <w:sz w:val="1"/>
                <w:szCs w:val="1"/>
                <w:color w:val="auto"/>
              </w:rPr>
            </w:pPr>
          </w:p>
        </w:tc>
        <w:tc>
          <w:tcPr>
            <w:tcW w:w="1200" w:type="dxa"/>
            <w:vAlign w:val="bottom"/>
            <w:shd w:val="clear" w:color="auto" w:fill="D9BA05"/>
          </w:tcPr>
          <w:p>
            <w:pPr>
              <w:spacing w:after="0" w:line="20" w:lineRule="exact"/>
              <w:rPr>
                <w:sz w:val="1"/>
                <w:szCs w:val="1"/>
                <w:color w:val="auto"/>
              </w:rPr>
            </w:pPr>
          </w:p>
        </w:tc>
        <w:tc>
          <w:tcPr>
            <w:tcW w:w="1180" w:type="dxa"/>
            <w:vAlign w:val="bottom"/>
            <w:shd w:val="clear" w:color="auto" w:fill="D9BA05"/>
          </w:tcPr>
          <w:p>
            <w:pPr>
              <w:spacing w:after="0" w:line="20" w:lineRule="exact"/>
              <w:rPr>
                <w:sz w:val="1"/>
                <w:szCs w:val="1"/>
                <w:color w:val="auto"/>
              </w:rPr>
            </w:pPr>
          </w:p>
        </w:tc>
        <w:tc>
          <w:tcPr>
            <w:tcW w:w="240" w:type="dxa"/>
            <w:vAlign w:val="bottom"/>
            <w:shd w:val="clear" w:color="auto" w:fill="D9BA05"/>
          </w:tcPr>
          <w:p>
            <w:pPr>
              <w:spacing w:after="0" w:line="20" w:lineRule="exact"/>
              <w:rPr>
                <w:sz w:val="1"/>
                <w:szCs w:val="1"/>
                <w:color w:val="auto"/>
              </w:rPr>
            </w:pPr>
          </w:p>
        </w:tc>
        <w:tc>
          <w:tcPr>
            <w:tcW w:w="860" w:type="dxa"/>
            <w:vAlign w:val="bottom"/>
            <w:shd w:val="clear" w:color="auto" w:fill="D9BA05"/>
          </w:tcPr>
          <w:p>
            <w:pPr>
              <w:spacing w:after="0" w:line="20" w:lineRule="exact"/>
              <w:rPr>
                <w:sz w:val="1"/>
                <w:szCs w:val="1"/>
                <w:color w:val="auto"/>
              </w:rPr>
            </w:pPr>
          </w:p>
        </w:tc>
        <w:tc>
          <w:tcPr>
            <w:tcW w:w="240" w:type="dxa"/>
            <w:vAlign w:val="bottom"/>
            <w:shd w:val="clear" w:color="auto" w:fill="D9BA05"/>
          </w:tcPr>
          <w:p>
            <w:pPr>
              <w:spacing w:after="0" w:line="20" w:lineRule="exact"/>
              <w:rPr>
                <w:sz w:val="1"/>
                <w:szCs w:val="1"/>
                <w:color w:val="auto"/>
              </w:rPr>
            </w:pPr>
          </w:p>
        </w:tc>
        <w:tc>
          <w:tcPr>
            <w:tcW w:w="1000" w:type="dxa"/>
            <w:vAlign w:val="bottom"/>
            <w:shd w:val="clear" w:color="auto" w:fill="D9BA05"/>
          </w:tcPr>
          <w:p>
            <w:pPr>
              <w:spacing w:after="0" w:line="20" w:lineRule="exact"/>
              <w:rPr>
                <w:sz w:val="1"/>
                <w:szCs w:val="1"/>
                <w:color w:val="auto"/>
              </w:rPr>
            </w:pPr>
          </w:p>
        </w:tc>
        <w:tc>
          <w:tcPr>
            <w:tcW w:w="620" w:type="dxa"/>
            <w:vAlign w:val="bottom"/>
            <w:shd w:val="clear" w:color="auto" w:fill="D9BA05"/>
          </w:tcPr>
          <w:p>
            <w:pPr>
              <w:spacing w:after="0" w:line="20" w:lineRule="exact"/>
              <w:rPr>
                <w:sz w:val="1"/>
                <w:szCs w:val="1"/>
                <w:color w:val="auto"/>
              </w:rPr>
            </w:pPr>
          </w:p>
        </w:tc>
        <w:tc>
          <w:tcPr>
            <w:tcW w:w="640" w:type="dxa"/>
            <w:vAlign w:val="bottom"/>
            <w:shd w:val="clear" w:color="auto" w:fill="D9BA05"/>
          </w:tcPr>
          <w:p>
            <w:pPr>
              <w:spacing w:after="0" w:line="20" w:lineRule="exact"/>
              <w:rPr>
                <w:sz w:val="1"/>
                <w:szCs w:val="1"/>
                <w:color w:val="auto"/>
              </w:rPr>
            </w:pPr>
          </w:p>
        </w:tc>
        <w:tc>
          <w:tcPr>
            <w:tcW w:w="140" w:type="dxa"/>
            <w:vAlign w:val="bottom"/>
            <w:shd w:val="clear" w:color="auto" w:fill="D9BA05"/>
          </w:tcPr>
          <w:p>
            <w:pPr>
              <w:spacing w:after="0" w:line="20" w:lineRule="exact"/>
              <w:rPr>
                <w:sz w:val="1"/>
                <w:szCs w:val="1"/>
                <w:color w:val="auto"/>
              </w:rPr>
            </w:pPr>
          </w:p>
        </w:tc>
        <w:tc>
          <w:tcPr>
            <w:tcW w:w="1220" w:type="dxa"/>
            <w:vAlign w:val="bottom"/>
            <w:shd w:val="clear" w:color="auto" w:fill="D9BA05"/>
          </w:tcPr>
          <w:p>
            <w:pPr>
              <w:spacing w:after="0" w:line="20" w:lineRule="exact"/>
              <w:rPr>
                <w:sz w:val="1"/>
                <w:szCs w:val="1"/>
                <w:color w:val="auto"/>
              </w:rPr>
            </w:pPr>
          </w:p>
        </w:tc>
        <w:tc>
          <w:tcPr>
            <w:tcW w:w="1260" w:type="dxa"/>
            <w:vAlign w:val="bottom"/>
            <w:shd w:val="clear" w:color="auto" w:fill="D9BA0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7" w:lineRule="exact"/>
        <w:rPr>
          <w:sz w:val="20"/>
          <w:szCs w:val="20"/>
          <w:color w:val="auto"/>
        </w:rPr>
      </w:pPr>
    </w:p>
    <w:p>
      <w:pPr>
        <w:ind w:left="340" w:right="160" w:hanging="334"/>
        <w:spacing w:after="0" w:line="243" w:lineRule="auto"/>
        <w:tabs>
          <w:tab w:leader="none" w:pos="340" w:val="left"/>
        </w:tabs>
        <w:numPr>
          <w:ilvl w:val="0"/>
          <w:numId w:val="29"/>
        </w:numPr>
        <w:rPr>
          <w:rFonts w:ascii="Arial" w:cs="Arial" w:eastAsia="Arial" w:hAnsi="Arial"/>
          <w:sz w:val="13"/>
          <w:szCs w:val="13"/>
          <w:color w:val="333333"/>
        </w:rPr>
      </w:pPr>
      <w:r>
        <w:rPr>
          <w:rFonts w:ascii="Arial" w:cs="Arial" w:eastAsia="Arial" w:hAnsi="Arial"/>
          <w:sz w:val="13"/>
          <w:szCs w:val="13"/>
          <w:color w:val="333333"/>
        </w:rPr>
        <w:t>The dollar amounts reported in column (b) are the amounts of total compensation reported for the CEO for each corresponding year in the “Total Compensation” column of the Summary Compensation Table. Mr. Grinberg was our only CEO for each such year.</w:t>
      </w:r>
    </w:p>
    <w:p>
      <w:pPr>
        <w:spacing w:after="0" w:line="61" w:lineRule="exact"/>
        <w:rPr>
          <w:rFonts w:ascii="Arial" w:cs="Arial" w:eastAsia="Arial" w:hAnsi="Arial"/>
          <w:sz w:val="13"/>
          <w:szCs w:val="13"/>
          <w:color w:val="333333"/>
        </w:rPr>
      </w:pPr>
    </w:p>
    <w:p>
      <w:pPr>
        <w:ind w:left="340" w:right="20" w:hanging="334"/>
        <w:spacing w:after="0" w:line="246" w:lineRule="auto"/>
        <w:tabs>
          <w:tab w:leader="none" w:pos="340" w:val="left"/>
        </w:tabs>
        <w:numPr>
          <w:ilvl w:val="0"/>
          <w:numId w:val="29"/>
        </w:numPr>
        <w:rPr>
          <w:rFonts w:ascii="Arial" w:cs="Arial" w:eastAsia="Arial" w:hAnsi="Arial"/>
          <w:sz w:val="12"/>
          <w:szCs w:val="12"/>
          <w:color w:val="333333"/>
        </w:rPr>
      </w:pPr>
      <w:r>
        <w:rPr>
          <w:rFonts w:ascii="Arial" w:cs="Arial" w:eastAsia="Arial" w:hAnsi="Arial"/>
          <w:sz w:val="12"/>
          <w:szCs w:val="12"/>
          <w:color w:val="333333"/>
        </w:rPr>
        <w:t>The dollar amounts reported in column (c) represent the amount of “compensation actually paid” to the CEO, as computed in accordance with Item 402(v) of Regulation S-K (the “CAP”). CAP does not reflect the actual amount of compensation earned by or paid to the CEO during the applicable year. In accordance with the requirements of Item 402(v) of Regulation S-K, the following adjustments were made to the CEO’s total compensation for each year to determine his CAP. (RSU and stock option values were computed in accordance with FASB ASC Topic 718 as of the dates indicated, with the options using similar assumptions as set forth in the “Stock-Based Compensation” note to the Company’s consolidated financial statements included in Form 10-K for the applicable fiscal year.)</w:t>
      </w:r>
    </w:p>
    <w:p>
      <w:pPr>
        <w:spacing w:after="0" w:line="278" w:lineRule="exact"/>
        <w:rPr>
          <w:sz w:val="20"/>
          <w:szCs w:val="20"/>
          <w:color w:val="auto"/>
        </w:rPr>
      </w:pPr>
    </w:p>
    <w:tbl>
      <w:tblPr>
        <w:tblLayout w:type="fixed"/>
        <w:tblInd w:w="320" w:type="dxa"/>
        <w:tblCellMar>
          <w:top w:w="0" w:type="dxa"/>
          <w:left w:w="0" w:type="dxa"/>
          <w:bottom w:w="0" w:type="dxa"/>
          <w:right w:w="0" w:type="dxa"/>
        </w:tblCellMar>
      </w:tblPr>
      <w:tr>
        <w:trPr>
          <w:trHeight w:val="126"/>
        </w:trPr>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jc w:val="right"/>
              <w:ind w:right="3"/>
              <w:spacing w:after="0"/>
              <w:rPr>
                <w:sz w:val="20"/>
                <w:szCs w:val="20"/>
                <w:color w:val="auto"/>
              </w:rPr>
            </w:pPr>
            <w:r>
              <w:rPr>
                <w:rFonts w:ascii="Arial" w:cs="Arial" w:eastAsia="Arial" w:hAnsi="Arial"/>
                <w:sz w:val="11"/>
                <w:szCs w:val="11"/>
                <w:b w:val="1"/>
                <w:bCs w:val="1"/>
                <w:color w:val="auto"/>
              </w:rPr>
              <w:t>PLUS FYE</w:t>
            </w:r>
          </w:p>
        </w:tc>
        <w:tc>
          <w:tcPr>
            <w:tcW w:w="2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jc w:val="right"/>
              <w:ind w:right="43"/>
              <w:spacing w:after="0"/>
              <w:rPr>
                <w:sz w:val="20"/>
                <w:szCs w:val="20"/>
                <w:color w:val="auto"/>
              </w:rPr>
            </w:pPr>
            <w:r>
              <w:rPr>
                <w:rFonts w:ascii="Arial" w:cs="Arial" w:eastAsia="Arial" w:hAnsi="Arial"/>
                <w:sz w:val="11"/>
                <w:szCs w:val="11"/>
                <w:b w:val="1"/>
                <w:bCs w:val="1"/>
                <w:color w:val="auto"/>
              </w:rPr>
              <w:t>PLUS</w:t>
            </w:r>
          </w:p>
        </w:tc>
        <w:tc>
          <w:tcPr>
            <w:tcW w:w="180" w:type="dxa"/>
            <w:vAlign w:val="bottom"/>
          </w:tcPr>
          <w:p>
            <w:pPr>
              <w:spacing w:after="0"/>
              <w:rPr>
                <w:sz w:val="10"/>
                <w:szCs w:val="10"/>
                <w:color w:val="auto"/>
              </w:rPr>
            </w:pPr>
          </w:p>
        </w:tc>
        <w:tc>
          <w:tcPr>
            <w:tcW w:w="700" w:type="dxa"/>
            <w:vAlign w:val="bottom"/>
          </w:tcPr>
          <w:p>
            <w:pPr>
              <w:jc w:val="right"/>
              <w:ind w:right="22"/>
              <w:spacing w:after="0"/>
              <w:rPr>
                <w:sz w:val="20"/>
                <w:szCs w:val="20"/>
                <w:color w:val="auto"/>
              </w:rPr>
            </w:pPr>
            <w:r>
              <w:rPr>
                <w:rFonts w:ascii="Arial" w:cs="Arial" w:eastAsia="Arial" w:hAnsi="Arial"/>
                <w:sz w:val="11"/>
                <w:szCs w:val="11"/>
                <w:b w:val="1"/>
                <w:bCs w:val="1"/>
                <w:color w:val="auto"/>
              </w:rPr>
              <w:t>PLUS</w:t>
            </w:r>
          </w:p>
        </w:tc>
        <w:tc>
          <w:tcPr>
            <w:tcW w:w="1040" w:type="dxa"/>
            <w:vAlign w:val="bottom"/>
          </w:tcPr>
          <w:p>
            <w:pPr>
              <w:spacing w:after="0"/>
              <w:rPr>
                <w:sz w:val="10"/>
                <w:szCs w:val="10"/>
                <w:color w:val="auto"/>
              </w:rPr>
            </w:pPr>
          </w:p>
        </w:tc>
      </w:tr>
      <w:tr>
        <w:trPr>
          <w:trHeight w:val="121"/>
        </w:trPr>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jc w:val="right"/>
              <w:ind w:right="3"/>
              <w:spacing w:after="0" w:line="122" w:lineRule="exact"/>
              <w:rPr>
                <w:sz w:val="20"/>
                <w:szCs w:val="20"/>
                <w:color w:val="auto"/>
              </w:rPr>
            </w:pPr>
            <w:r>
              <w:rPr>
                <w:rFonts w:ascii="Arial" w:cs="Arial" w:eastAsia="Arial" w:hAnsi="Arial"/>
                <w:sz w:val="11"/>
                <w:szCs w:val="11"/>
                <w:b w:val="1"/>
                <w:bCs w:val="1"/>
                <w:color w:val="auto"/>
              </w:rPr>
              <w:t>FAIR VALUE</w:t>
            </w:r>
          </w:p>
        </w:tc>
        <w:tc>
          <w:tcPr>
            <w:tcW w:w="840" w:type="dxa"/>
            <w:vAlign w:val="bottom"/>
            <w:gridSpan w:val="2"/>
          </w:tcPr>
          <w:p>
            <w:pPr>
              <w:jc w:val="right"/>
              <w:ind w:right="40"/>
              <w:spacing w:after="0" w:line="122" w:lineRule="exact"/>
              <w:rPr>
                <w:sz w:val="20"/>
                <w:szCs w:val="20"/>
                <w:color w:val="auto"/>
              </w:rPr>
            </w:pPr>
            <w:r>
              <w:rPr>
                <w:rFonts w:ascii="Arial" w:cs="Arial" w:eastAsia="Arial" w:hAnsi="Arial"/>
                <w:sz w:val="11"/>
                <w:szCs w:val="11"/>
                <w:b w:val="1"/>
                <w:bCs w:val="1"/>
                <w:color w:val="auto"/>
              </w:rPr>
              <w:t>PLUS FYE</w:t>
            </w:r>
          </w:p>
        </w:tc>
        <w:tc>
          <w:tcPr>
            <w:tcW w:w="240" w:type="dxa"/>
            <w:vAlign w:val="bottom"/>
          </w:tcPr>
          <w:p>
            <w:pPr>
              <w:spacing w:after="0"/>
              <w:rPr>
                <w:sz w:val="10"/>
                <w:szCs w:val="10"/>
                <w:color w:val="auto"/>
              </w:rPr>
            </w:pPr>
          </w:p>
        </w:tc>
        <w:tc>
          <w:tcPr>
            <w:tcW w:w="680" w:type="dxa"/>
            <w:vAlign w:val="bottom"/>
          </w:tcPr>
          <w:p>
            <w:pPr>
              <w:jc w:val="right"/>
              <w:ind w:right="22"/>
              <w:spacing w:after="0" w:line="122" w:lineRule="exact"/>
              <w:rPr>
                <w:sz w:val="20"/>
                <w:szCs w:val="20"/>
                <w:color w:val="auto"/>
              </w:rPr>
            </w:pPr>
            <w:r>
              <w:rPr>
                <w:rFonts w:ascii="Arial" w:cs="Arial" w:eastAsia="Arial" w:hAnsi="Arial"/>
                <w:sz w:val="11"/>
                <w:szCs w:val="11"/>
                <w:b w:val="1"/>
                <w:bCs w:val="1"/>
                <w:color w:val="auto"/>
              </w:rPr>
              <w:t>PLUS</w:t>
            </w:r>
          </w:p>
        </w:tc>
        <w:tc>
          <w:tcPr>
            <w:tcW w:w="320" w:type="dxa"/>
            <w:vAlign w:val="bottom"/>
          </w:tcPr>
          <w:p>
            <w:pPr>
              <w:spacing w:after="0"/>
              <w:rPr>
                <w:sz w:val="10"/>
                <w:szCs w:val="10"/>
                <w:color w:val="auto"/>
              </w:rPr>
            </w:pPr>
          </w:p>
        </w:tc>
        <w:tc>
          <w:tcPr>
            <w:tcW w:w="620" w:type="dxa"/>
            <w:vAlign w:val="bottom"/>
          </w:tcPr>
          <w:p>
            <w:pPr>
              <w:jc w:val="right"/>
              <w:ind w:right="42"/>
              <w:spacing w:after="0" w:line="122" w:lineRule="exact"/>
              <w:rPr>
                <w:sz w:val="20"/>
                <w:szCs w:val="20"/>
                <w:color w:val="auto"/>
              </w:rPr>
            </w:pPr>
            <w:r>
              <w:rPr>
                <w:rFonts w:ascii="Arial" w:cs="Arial" w:eastAsia="Arial" w:hAnsi="Arial"/>
                <w:sz w:val="11"/>
                <w:szCs w:val="11"/>
                <w:b w:val="1"/>
                <w:bCs w:val="1"/>
                <w:color w:val="auto"/>
              </w:rPr>
              <w:t>PLUS</w:t>
            </w:r>
          </w:p>
        </w:tc>
        <w:tc>
          <w:tcPr>
            <w:tcW w:w="820" w:type="dxa"/>
            <w:vAlign w:val="bottom"/>
            <w:gridSpan w:val="2"/>
          </w:tcPr>
          <w:p>
            <w:pPr>
              <w:jc w:val="right"/>
              <w:ind w:right="43"/>
              <w:spacing w:after="0" w:line="122" w:lineRule="exact"/>
              <w:rPr>
                <w:sz w:val="20"/>
                <w:szCs w:val="20"/>
                <w:color w:val="auto"/>
              </w:rPr>
            </w:pPr>
            <w:r>
              <w:rPr>
                <w:rFonts w:ascii="Arial" w:cs="Arial" w:eastAsia="Arial" w:hAnsi="Arial"/>
                <w:sz w:val="11"/>
                <w:szCs w:val="11"/>
                <w:b w:val="1"/>
                <w:bCs w:val="1"/>
                <w:color w:val="auto"/>
              </w:rPr>
              <w:t>CHANGE IN</w:t>
            </w:r>
          </w:p>
        </w:tc>
        <w:tc>
          <w:tcPr>
            <w:tcW w:w="180" w:type="dxa"/>
            <w:vAlign w:val="bottom"/>
          </w:tcPr>
          <w:p>
            <w:pPr>
              <w:spacing w:after="0"/>
              <w:rPr>
                <w:sz w:val="10"/>
                <w:szCs w:val="10"/>
                <w:color w:val="auto"/>
              </w:rPr>
            </w:pPr>
          </w:p>
        </w:tc>
        <w:tc>
          <w:tcPr>
            <w:tcW w:w="700" w:type="dxa"/>
            <w:vAlign w:val="bottom"/>
          </w:tcPr>
          <w:p>
            <w:pPr>
              <w:jc w:val="right"/>
              <w:ind w:right="22"/>
              <w:spacing w:after="0" w:line="122" w:lineRule="exact"/>
              <w:rPr>
                <w:sz w:val="20"/>
                <w:szCs w:val="20"/>
                <w:color w:val="auto"/>
              </w:rPr>
            </w:pPr>
            <w:r>
              <w:rPr>
                <w:rFonts w:ascii="Arial" w:cs="Arial" w:eastAsia="Arial" w:hAnsi="Arial"/>
                <w:sz w:val="11"/>
                <w:szCs w:val="11"/>
                <w:b w:val="1"/>
                <w:bCs w:val="1"/>
                <w:color w:val="auto"/>
                <w:w w:val="97"/>
              </w:rPr>
              <w:t>CHANGE IN</w:t>
            </w:r>
          </w:p>
        </w:tc>
        <w:tc>
          <w:tcPr>
            <w:tcW w:w="104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right"/>
              <w:ind w:right="44"/>
              <w:spacing w:after="0" w:line="122" w:lineRule="exact"/>
              <w:rPr>
                <w:sz w:val="20"/>
                <w:szCs w:val="20"/>
                <w:color w:val="auto"/>
              </w:rPr>
            </w:pPr>
            <w:r>
              <w:rPr>
                <w:rFonts w:ascii="Arial" w:cs="Arial" w:eastAsia="Arial" w:hAnsi="Arial"/>
                <w:sz w:val="11"/>
                <w:szCs w:val="11"/>
                <w:b w:val="1"/>
                <w:bCs w:val="1"/>
                <w:color w:val="auto"/>
              </w:rPr>
              <w:t>MINUS</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jc w:val="right"/>
              <w:ind w:right="3"/>
              <w:spacing w:after="0" w:line="122" w:lineRule="exact"/>
              <w:rPr>
                <w:sz w:val="20"/>
                <w:szCs w:val="20"/>
                <w:color w:val="auto"/>
              </w:rPr>
            </w:pPr>
            <w:r>
              <w:rPr>
                <w:rFonts w:ascii="Arial" w:cs="Arial" w:eastAsia="Arial" w:hAnsi="Arial"/>
                <w:sz w:val="11"/>
                <w:szCs w:val="11"/>
                <w:b w:val="1"/>
                <w:bCs w:val="1"/>
                <w:color w:val="auto"/>
              </w:rPr>
              <w:t>OF RSUS</w:t>
            </w:r>
          </w:p>
        </w:tc>
        <w:tc>
          <w:tcPr>
            <w:tcW w:w="840" w:type="dxa"/>
            <w:vAlign w:val="bottom"/>
            <w:gridSpan w:val="2"/>
          </w:tcPr>
          <w:p>
            <w:pPr>
              <w:jc w:val="right"/>
              <w:ind w:right="40"/>
              <w:spacing w:after="0" w:line="122" w:lineRule="exact"/>
              <w:rPr>
                <w:sz w:val="20"/>
                <w:szCs w:val="20"/>
                <w:color w:val="auto"/>
              </w:rPr>
            </w:pPr>
            <w:r>
              <w:rPr>
                <w:rFonts w:ascii="Arial" w:cs="Arial" w:eastAsia="Arial" w:hAnsi="Arial"/>
                <w:sz w:val="11"/>
                <w:szCs w:val="11"/>
                <w:b w:val="1"/>
                <w:bCs w:val="1"/>
                <w:color w:val="auto"/>
              </w:rPr>
              <w:t>FAIR VALUE</w:t>
            </w:r>
          </w:p>
        </w:tc>
        <w:tc>
          <w:tcPr>
            <w:tcW w:w="240" w:type="dxa"/>
            <w:vAlign w:val="bottom"/>
          </w:tcPr>
          <w:p>
            <w:pPr>
              <w:spacing w:after="0"/>
              <w:rPr>
                <w:sz w:val="10"/>
                <w:szCs w:val="10"/>
                <w:color w:val="auto"/>
              </w:rPr>
            </w:pPr>
          </w:p>
        </w:tc>
        <w:tc>
          <w:tcPr>
            <w:tcW w:w="680" w:type="dxa"/>
            <w:vAlign w:val="bottom"/>
          </w:tcPr>
          <w:p>
            <w:pPr>
              <w:jc w:val="right"/>
              <w:ind w:right="22"/>
              <w:spacing w:after="0" w:line="122" w:lineRule="exact"/>
              <w:rPr>
                <w:sz w:val="20"/>
                <w:szCs w:val="20"/>
                <w:color w:val="auto"/>
              </w:rPr>
            </w:pPr>
            <w:r>
              <w:rPr>
                <w:rFonts w:ascii="Arial" w:cs="Arial" w:eastAsia="Arial" w:hAnsi="Arial"/>
                <w:sz w:val="11"/>
                <w:szCs w:val="11"/>
                <w:b w:val="1"/>
                <w:bCs w:val="1"/>
                <w:color w:val="auto"/>
                <w:w w:val="93"/>
              </w:rPr>
              <w:t>CHANGE IN</w:t>
            </w:r>
          </w:p>
        </w:tc>
        <w:tc>
          <w:tcPr>
            <w:tcW w:w="940" w:type="dxa"/>
            <w:vAlign w:val="bottom"/>
            <w:gridSpan w:val="2"/>
          </w:tcPr>
          <w:p>
            <w:pPr>
              <w:ind w:left="240"/>
              <w:spacing w:after="0" w:line="122" w:lineRule="exact"/>
              <w:rPr>
                <w:sz w:val="20"/>
                <w:szCs w:val="20"/>
                <w:color w:val="auto"/>
              </w:rPr>
            </w:pPr>
            <w:r>
              <w:rPr>
                <w:rFonts w:ascii="Arial" w:cs="Arial" w:eastAsia="Arial" w:hAnsi="Arial"/>
                <w:sz w:val="11"/>
                <w:szCs w:val="11"/>
                <w:b w:val="1"/>
                <w:bCs w:val="1"/>
                <w:color w:val="auto"/>
              </w:rPr>
              <w:t>CHANGE IN</w:t>
            </w:r>
          </w:p>
        </w:tc>
        <w:tc>
          <w:tcPr>
            <w:tcW w:w="820" w:type="dxa"/>
            <w:vAlign w:val="bottom"/>
            <w:gridSpan w:val="2"/>
          </w:tcPr>
          <w:p>
            <w:pPr>
              <w:jc w:val="right"/>
              <w:ind w:right="43"/>
              <w:spacing w:after="0" w:line="122" w:lineRule="exact"/>
              <w:rPr>
                <w:sz w:val="20"/>
                <w:szCs w:val="20"/>
                <w:color w:val="auto"/>
              </w:rPr>
            </w:pPr>
            <w:r>
              <w:rPr>
                <w:rFonts w:ascii="Arial" w:cs="Arial" w:eastAsia="Arial" w:hAnsi="Arial"/>
                <w:sz w:val="11"/>
                <w:szCs w:val="11"/>
                <w:b w:val="1"/>
                <w:bCs w:val="1"/>
                <w:color w:val="auto"/>
              </w:rPr>
              <w:t>FAIR VALUE</w:t>
            </w:r>
          </w:p>
        </w:tc>
        <w:tc>
          <w:tcPr>
            <w:tcW w:w="880" w:type="dxa"/>
            <w:vAlign w:val="bottom"/>
            <w:gridSpan w:val="2"/>
          </w:tcPr>
          <w:p>
            <w:pPr>
              <w:jc w:val="right"/>
              <w:ind w:right="22"/>
              <w:spacing w:after="0" w:line="122" w:lineRule="exact"/>
              <w:rPr>
                <w:sz w:val="20"/>
                <w:szCs w:val="20"/>
                <w:color w:val="auto"/>
              </w:rPr>
            </w:pPr>
            <w:r>
              <w:rPr>
                <w:rFonts w:ascii="Arial" w:cs="Arial" w:eastAsia="Arial" w:hAnsi="Arial"/>
                <w:sz w:val="11"/>
                <w:szCs w:val="11"/>
                <w:b w:val="1"/>
                <w:bCs w:val="1"/>
                <w:color w:val="auto"/>
              </w:rPr>
              <w:t>FAIR VALUE</w:t>
            </w:r>
          </w:p>
        </w:tc>
        <w:tc>
          <w:tcPr>
            <w:tcW w:w="104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right"/>
              <w:ind w:right="24"/>
              <w:spacing w:after="0" w:line="122" w:lineRule="exact"/>
              <w:rPr>
                <w:sz w:val="20"/>
                <w:szCs w:val="20"/>
                <w:color w:val="auto"/>
              </w:rPr>
            </w:pPr>
            <w:r>
              <w:rPr>
                <w:rFonts w:ascii="Arial" w:cs="Arial" w:eastAsia="Arial" w:hAnsi="Arial"/>
                <w:sz w:val="11"/>
                <w:szCs w:val="11"/>
                <w:b w:val="1"/>
                <w:bCs w:val="1"/>
                <w:color w:val="auto"/>
              </w:rPr>
              <w:t>RSU</w:t>
            </w: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jc w:val="right"/>
              <w:ind w:right="3"/>
              <w:spacing w:after="0" w:line="122" w:lineRule="exact"/>
              <w:rPr>
                <w:sz w:val="20"/>
                <w:szCs w:val="20"/>
                <w:color w:val="auto"/>
              </w:rPr>
            </w:pPr>
            <w:r>
              <w:rPr>
                <w:rFonts w:ascii="Arial" w:cs="Arial" w:eastAsia="Arial" w:hAnsi="Arial"/>
                <w:sz w:val="11"/>
                <w:szCs w:val="11"/>
                <w:b w:val="1"/>
                <w:bCs w:val="1"/>
                <w:color w:val="auto"/>
              </w:rPr>
              <w:t>AND PSUS</w:t>
            </w:r>
          </w:p>
        </w:tc>
        <w:tc>
          <w:tcPr>
            <w:tcW w:w="840" w:type="dxa"/>
            <w:vAlign w:val="bottom"/>
            <w:gridSpan w:val="2"/>
          </w:tcPr>
          <w:p>
            <w:pPr>
              <w:jc w:val="right"/>
              <w:ind w:right="40"/>
              <w:spacing w:after="0" w:line="122" w:lineRule="exact"/>
              <w:rPr>
                <w:sz w:val="20"/>
                <w:szCs w:val="20"/>
                <w:color w:val="auto"/>
              </w:rPr>
            </w:pPr>
            <w:r>
              <w:rPr>
                <w:rFonts w:ascii="Arial" w:cs="Arial" w:eastAsia="Arial" w:hAnsi="Arial"/>
                <w:sz w:val="11"/>
                <w:szCs w:val="11"/>
                <w:b w:val="1"/>
                <w:bCs w:val="1"/>
                <w:color w:val="auto"/>
              </w:rPr>
              <w:t>OF OPTIONS</w:t>
            </w:r>
          </w:p>
        </w:tc>
        <w:tc>
          <w:tcPr>
            <w:tcW w:w="920" w:type="dxa"/>
            <w:vAlign w:val="bottom"/>
            <w:gridSpan w:val="2"/>
          </w:tcPr>
          <w:p>
            <w:pPr>
              <w:jc w:val="right"/>
              <w:ind w:right="22"/>
              <w:spacing w:after="0" w:line="122" w:lineRule="exact"/>
              <w:rPr>
                <w:sz w:val="20"/>
                <w:szCs w:val="20"/>
                <w:color w:val="auto"/>
              </w:rPr>
            </w:pPr>
            <w:r>
              <w:rPr>
                <w:rFonts w:ascii="Arial" w:cs="Arial" w:eastAsia="Arial" w:hAnsi="Arial"/>
                <w:sz w:val="11"/>
                <w:szCs w:val="11"/>
                <w:b w:val="1"/>
                <w:bCs w:val="1"/>
                <w:color w:val="auto"/>
              </w:rPr>
              <w:t>FAIR VALUE</w:t>
            </w:r>
          </w:p>
        </w:tc>
        <w:tc>
          <w:tcPr>
            <w:tcW w:w="940" w:type="dxa"/>
            <w:vAlign w:val="bottom"/>
            <w:gridSpan w:val="2"/>
          </w:tcPr>
          <w:p>
            <w:pPr>
              <w:jc w:val="right"/>
              <w:ind w:right="42"/>
              <w:spacing w:after="0" w:line="122" w:lineRule="exact"/>
              <w:rPr>
                <w:sz w:val="20"/>
                <w:szCs w:val="20"/>
                <w:color w:val="auto"/>
              </w:rPr>
            </w:pPr>
            <w:r>
              <w:rPr>
                <w:rFonts w:ascii="Arial" w:cs="Arial" w:eastAsia="Arial" w:hAnsi="Arial"/>
                <w:sz w:val="11"/>
                <w:szCs w:val="11"/>
                <w:b w:val="1"/>
                <w:bCs w:val="1"/>
                <w:color w:val="auto"/>
              </w:rPr>
              <w:t>FAIR VALUE</w:t>
            </w:r>
          </w:p>
        </w:tc>
        <w:tc>
          <w:tcPr>
            <w:tcW w:w="820" w:type="dxa"/>
            <w:vAlign w:val="bottom"/>
            <w:gridSpan w:val="2"/>
          </w:tcPr>
          <w:p>
            <w:pPr>
              <w:jc w:val="right"/>
              <w:ind w:right="43"/>
              <w:spacing w:after="0" w:line="122" w:lineRule="exact"/>
              <w:rPr>
                <w:sz w:val="20"/>
                <w:szCs w:val="20"/>
                <w:color w:val="auto"/>
              </w:rPr>
            </w:pPr>
            <w:r>
              <w:rPr>
                <w:rFonts w:ascii="Arial" w:cs="Arial" w:eastAsia="Arial" w:hAnsi="Arial"/>
                <w:sz w:val="11"/>
                <w:szCs w:val="11"/>
                <w:b w:val="1"/>
                <w:bCs w:val="1"/>
                <w:color w:val="auto"/>
              </w:rPr>
              <w:t>FROM END</w:t>
            </w:r>
          </w:p>
        </w:tc>
        <w:tc>
          <w:tcPr>
            <w:tcW w:w="180" w:type="dxa"/>
            <w:vAlign w:val="bottom"/>
          </w:tcPr>
          <w:p>
            <w:pPr>
              <w:spacing w:after="0"/>
              <w:rPr>
                <w:sz w:val="10"/>
                <w:szCs w:val="10"/>
                <w:color w:val="auto"/>
              </w:rPr>
            </w:pPr>
          </w:p>
        </w:tc>
        <w:tc>
          <w:tcPr>
            <w:tcW w:w="700" w:type="dxa"/>
            <w:vAlign w:val="bottom"/>
          </w:tcPr>
          <w:p>
            <w:pPr>
              <w:jc w:val="right"/>
              <w:ind w:right="22"/>
              <w:spacing w:after="0" w:line="122" w:lineRule="exact"/>
              <w:rPr>
                <w:sz w:val="20"/>
                <w:szCs w:val="20"/>
                <w:color w:val="auto"/>
              </w:rPr>
            </w:pPr>
            <w:r>
              <w:rPr>
                <w:rFonts w:ascii="Arial" w:cs="Arial" w:eastAsia="Arial" w:hAnsi="Arial"/>
                <w:sz w:val="11"/>
                <w:szCs w:val="11"/>
                <w:b w:val="1"/>
                <w:bCs w:val="1"/>
                <w:color w:val="auto"/>
              </w:rPr>
              <w:t>FROM END</w:t>
            </w:r>
          </w:p>
        </w:tc>
        <w:tc>
          <w:tcPr>
            <w:tcW w:w="1040" w:type="dxa"/>
            <w:vAlign w:val="bottom"/>
          </w:tcPr>
          <w:p>
            <w:pPr>
              <w:spacing w:after="0"/>
              <w:rPr>
                <w:sz w:val="10"/>
                <w:szCs w:val="10"/>
                <w:color w:val="auto"/>
              </w:rPr>
            </w:pPr>
          </w:p>
        </w:tc>
      </w:tr>
      <w:tr>
        <w:trPr>
          <w:trHeight w:val="121"/>
        </w:trPr>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jc w:val="right"/>
              <w:ind w:right="44"/>
              <w:spacing w:after="0" w:line="122" w:lineRule="exact"/>
              <w:rPr>
                <w:sz w:val="20"/>
                <w:szCs w:val="20"/>
                <w:color w:val="auto"/>
              </w:rPr>
            </w:pPr>
            <w:r>
              <w:rPr>
                <w:rFonts w:ascii="Arial" w:cs="Arial" w:eastAsia="Arial" w:hAnsi="Arial"/>
                <w:sz w:val="11"/>
                <w:szCs w:val="11"/>
                <w:b w:val="1"/>
                <w:bCs w:val="1"/>
                <w:color w:val="auto"/>
              </w:rPr>
              <w:t>AND</w:t>
            </w:r>
          </w:p>
        </w:tc>
        <w:tc>
          <w:tcPr>
            <w:tcW w:w="140" w:type="dxa"/>
            <w:vAlign w:val="bottom"/>
          </w:tcPr>
          <w:p>
            <w:pPr>
              <w:spacing w:after="0"/>
              <w:rPr>
                <w:sz w:val="10"/>
                <w:szCs w:val="10"/>
                <w:color w:val="auto"/>
              </w:rPr>
            </w:pPr>
          </w:p>
        </w:tc>
        <w:tc>
          <w:tcPr>
            <w:tcW w:w="520" w:type="dxa"/>
            <w:vAlign w:val="bottom"/>
          </w:tcPr>
          <w:p>
            <w:pPr>
              <w:jc w:val="right"/>
              <w:ind w:right="43"/>
              <w:spacing w:after="0" w:line="122" w:lineRule="exact"/>
              <w:rPr>
                <w:sz w:val="20"/>
                <w:szCs w:val="20"/>
                <w:color w:val="auto"/>
              </w:rPr>
            </w:pPr>
            <w:r>
              <w:rPr>
                <w:rFonts w:ascii="Arial" w:cs="Arial" w:eastAsia="Arial" w:hAnsi="Arial"/>
                <w:sz w:val="11"/>
                <w:szCs w:val="11"/>
                <w:b w:val="1"/>
                <w:bCs w:val="1"/>
                <w:color w:val="auto"/>
              </w:rPr>
              <w:t>MINUS</w:t>
            </w:r>
          </w:p>
        </w:tc>
        <w:tc>
          <w:tcPr>
            <w:tcW w:w="760" w:type="dxa"/>
            <w:vAlign w:val="bottom"/>
          </w:tcPr>
          <w:p>
            <w:pPr>
              <w:jc w:val="right"/>
              <w:ind w:right="3"/>
              <w:spacing w:after="0" w:line="122" w:lineRule="exact"/>
              <w:rPr>
                <w:sz w:val="20"/>
                <w:szCs w:val="20"/>
                <w:color w:val="auto"/>
              </w:rPr>
            </w:pPr>
            <w:r>
              <w:rPr>
                <w:rFonts w:ascii="Arial" w:cs="Arial" w:eastAsia="Arial" w:hAnsi="Arial"/>
                <w:sz w:val="11"/>
                <w:szCs w:val="11"/>
                <w:b w:val="1"/>
                <w:bCs w:val="1"/>
                <w:color w:val="auto"/>
              </w:rPr>
              <w:t>GRANTED</w:t>
            </w:r>
          </w:p>
        </w:tc>
        <w:tc>
          <w:tcPr>
            <w:tcW w:w="840" w:type="dxa"/>
            <w:vAlign w:val="bottom"/>
            <w:gridSpan w:val="2"/>
          </w:tcPr>
          <w:p>
            <w:pPr>
              <w:jc w:val="right"/>
              <w:ind w:right="40"/>
              <w:spacing w:after="0" w:line="122" w:lineRule="exact"/>
              <w:rPr>
                <w:sz w:val="20"/>
                <w:szCs w:val="20"/>
                <w:color w:val="auto"/>
              </w:rPr>
            </w:pPr>
            <w:r>
              <w:rPr>
                <w:rFonts w:ascii="Arial" w:cs="Arial" w:eastAsia="Arial" w:hAnsi="Arial"/>
                <w:sz w:val="11"/>
                <w:szCs w:val="11"/>
                <w:b w:val="1"/>
                <w:bCs w:val="1"/>
                <w:color w:val="auto"/>
              </w:rPr>
              <w:t>GRANTED</w:t>
            </w:r>
          </w:p>
        </w:tc>
        <w:tc>
          <w:tcPr>
            <w:tcW w:w="920" w:type="dxa"/>
            <w:vAlign w:val="bottom"/>
            <w:gridSpan w:val="2"/>
          </w:tcPr>
          <w:p>
            <w:pPr>
              <w:jc w:val="right"/>
              <w:ind w:right="22"/>
              <w:spacing w:after="0" w:line="122" w:lineRule="exact"/>
              <w:rPr>
                <w:sz w:val="20"/>
                <w:szCs w:val="20"/>
                <w:color w:val="auto"/>
              </w:rPr>
            </w:pPr>
            <w:r>
              <w:rPr>
                <w:rFonts w:ascii="Arial" w:cs="Arial" w:eastAsia="Arial" w:hAnsi="Arial"/>
                <w:sz w:val="11"/>
                <w:szCs w:val="11"/>
                <w:b w:val="1"/>
                <w:bCs w:val="1"/>
                <w:color w:val="auto"/>
              </w:rPr>
              <w:t>OF UNVESTED</w:t>
            </w:r>
          </w:p>
        </w:tc>
        <w:tc>
          <w:tcPr>
            <w:tcW w:w="940" w:type="dxa"/>
            <w:vAlign w:val="bottom"/>
            <w:gridSpan w:val="2"/>
          </w:tcPr>
          <w:p>
            <w:pPr>
              <w:jc w:val="right"/>
              <w:ind w:right="42"/>
              <w:spacing w:after="0" w:line="122" w:lineRule="exact"/>
              <w:rPr>
                <w:sz w:val="20"/>
                <w:szCs w:val="20"/>
                <w:color w:val="auto"/>
              </w:rPr>
            </w:pPr>
            <w:r>
              <w:rPr>
                <w:rFonts w:ascii="Arial" w:cs="Arial" w:eastAsia="Arial" w:hAnsi="Arial"/>
                <w:sz w:val="11"/>
                <w:szCs w:val="11"/>
                <w:b w:val="1"/>
                <w:bCs w:val="1"/>
                <w:color w:val="auto"/>
              </w:rPr>
              <w:t>OF UNVESTED</w:t>
            </w:r>
          </w:p>
        </w:tc>
        <w:tc>
          <w:tcPr>
            <w:tcW w:w="820" w:type="dxa"/>
            <w:vAlign w:val="bottom"/>
            <w:gridSpan w:val="2"/>
          </w:tcPr>
          <w:p>
            <w:pPr>
              <w:jc w:val="right"/>
              <w:ind w:right="43"/>
              <w:spacing w:after="0" w:line="122" w:lineRule="exact"/>
              <w:rPr>
                <w:sz w:val="20"/>
                <w:szCs w:val="20"/>
                <w:color w:val="auto"/>
              </w:rPr>
            </w:pPr>
            <w:r>
              <w:rPr>
                <w:rFonts w:ascii="Arial" w:cs="Arial" w:eastAsia="Arial" w:hAnsi="Arial"/>
                <w:sz w:val="11"/>
                <w:szCs w:val="11"/>
                <w:b w:val="1"/>
                <w:bCs w:val="1"/>
                <w:color w:val="auto"/>
              </w:rPr>
              <w:t>OF FY TO</w:t>
            </w:r>
          </w:p>
        </w:tc>
        <w:tc>
          <w:tcPr>
            <w:tcW w:w="880" w:type="dxa"/>
            <w:vAlign w:val="bottom"/>
            <w:gridSpan w:val="2"/>
          </w:tcPr>
          <w:p>
            <w:pPr>
              <w:jc w:val="right"/>
              <w:ind w:right="22"/>
              <w:spacing w:after="0" w:line="122" w:lineRule="exact"/>
              <w:rPr>
                <w:sz w:val="20"/>
                <w:szCs w:val="20"/>
                <w:color w:val="auto"/>
              </w:rPr>
            </w:pPr>
            <w:r>
              <w:rPr>
                <w:rFonts w:ascii="Arial" w:cs="Arial" w:eastAsia="Arial" w:hAnsi="Arial"/>
                <w:sz w:val="11"/>
                <w:szCs w:val="11"/>
                <w:b w:val="1"/>
                <w:bCs w:val="1"/>
                <w:color w:val="auto"/>
              </w:rPr>
              <w:t>OF PRIOR FY</w:t>
            </w:r>
          </w:p>
        </w:tc>
        <w:tc>
          <w:tcPr>
            <w:tcW w:w="104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840" w:type="dxa"/>
            <w:vAlign w:val="bottom"/>
          </w:tcPr>
          <w:p>
            <w:pPr>
              <w:jc w:val="right"/>
              <w:ind w:right="42"/>
              <w:spacing w:after="0" w:line="122" w:lineRule="exact"/>
              <w:rPr>
                <w:sz w:val="20"/>
                <w:szCs w:val="20"/>
                <w:color w:val="auto"/>
              </w:rPr>
            </w:pPr>
            <w:r>
              <w:rPr>
                <w:rFonts w:ascii="Arial" w:cs="Arial" w:eastAsia="Arial" w:hAnsi="Arial"/>
                <w:sz w:val="11"/>
                <w:szCs w:val="11"/>
                <w:b w:val="1"/>
                <w:bCs w:val="1"/>
                <w:color w:val="auto"/>
              </w:rPr>
              <w:t>SUMMARY</w:t>
            </w:r>
          </w:p>
        </w:tc>
        <w:tc>
          <w:tcPr>
            <w:tcW w:w="200" w:type="dxa"/>
            <w:vAlign w:val="bottom"/>
          </w:tcPr>
          <w:p>
            <w:pPr>
              <w:spacing w:after="0"/>
              <w:rPr>
                <w:sz w:val="10"/>
                <w:szCs w:val="10"/>
                <w:color w:val="auto"/>
              </w:rPr>
            </w:pPr>
          </w:p>
        </w:tc>
        <w:tc>
          <w:tcPr>
            <w:tcW w:w="580" w:type="dxa"/>
            <w:vAlign w:val="bottom"/>
          </w:tcPr>
          <w:p>
            <w:pPr>
              <w:jc w:val="right"/>
              <w:ind w:right="24"/>
              <w:spacing w:after="0" w:line="122" w:lineRule="exact"/>
              <w:rPr>
                <w:sz w:val="20"/>
                <w:szCs w:val="20"/>
                <w:color w:val="auto"/>
              </w:rPr>
            </w:pPr>
            <w:r>
              <w:rPr>
                <w:rFonts w:ascii="Arial" w:cs="Arial" w:eastAsia="Arial" w:hAnsi="Arial"/>
                <w:sz w:val="11"/>
                <w:szCs w:val="11"/>
                <w:b w:val="1"/>
                <w:bCs w:val="1"/>
                <w:color w:val="auto"/>
              </w:rPr>
              <w:t>PSU</w:t>
            </w:r>
          </w:p>
        </w:tc>
        <w:tc>
          <w:tcPr>
            <w:tcW w:w="140" w:type="dxa"/>
            <w:vAlign w:val="bottom"/>
          </w:tcPr>
          <w:p>
            <w:pPr>
              <w:spacing w:after="0"/>
              <w:rPr>
                <w:sz w:val="10"/>
                <w:szCs w:val="10"/>
                <w:color w:val="auto"/>
              </w:rPr>
            </w:pPr>
          </w:p>
        </w:tc>
        <w:tc>
          <w:tcPr>
            <w:tcW w:w="520" w:type="dxa"/>
            <w:vAlign w:val="bottom"/>
          </w:tcPr>
          <w:p>
            <w:pPr>
              <w:jc w:val="right"/>
              <w:ind w:right="43"/>
              <w:spacing w:after="0" w:line="122" w:lineRule="exact"/>
              <w:rPr>
                <w:sz w:val="20"/>
                <w:szCs w:val="20"/>
                <w:color w:val="auto"/>
              </w:rPr>
            </w:pPr>
            <w:r>
              <w:rPr>
                <w:rFonts w:ascii="Arial" w:cs="Arial" w:eastAsia="Arial" w:hAnsi="Arial"/>
                <w:sz w:val="11"/>
                <w:szCs w:val="11"/>
                <w:b w:val="1"/>
                <w:bCs w:val="1"/>
                <w:color w:val="auto"/>
                <w:w w:val="94"/>
              </w:rPr>
              <w:t>OPTION</w:t>
            </w:r>
          </w:p>
        </w:tc>
        <w:tc>
          <w:tcPr>
            <w:tcW w:w="760" w:type="dxa"/>
            <w:vAlign w:val="bottom"/>
          </w:tcPr>
          <w:p>
            <w:pPr>
              <w:jc w:val="right"/>
              <w:ind w:right="3"/>
              <w:spacing w:after="0" w:line="122" w:lineRule="exact"/>
              <w:rPr>
                <w:sz w:val="20"/>
                <w:szCs w:val="20"/>
                <w:color w:val="auto"/>
              </w:rPr>
            </w:pPr>
            <w:r>
              <w:rPr>
                <w:rFonts w:ascii="Arial" w:cs="Arial" w:eastAsia="Arial" w:hAnsi="Arial"/>
                <w:sz w:val="11"/>
                <w:szCs w:val="11"/>
                <w:b w:val="1"/>
                <w:bCs w:val="1"/>
                <w:color w:val="auto"/>
              </w:rPr>
              <w:t>DURING</w:t>
            </w:r>
          </w:p>
        </w:tc>
        <w:tc>
          <w:tcPr>
            <w:tcW w:w="260" w:type="dxa"/>
            <w:vAlign w:val="bottom"/>
          </w:tcPr>
          <w:p>
            <w:pPr>
              <w:spacing w:after="0"/>
              <w:rPr>
                <w:sz w:val="10"/>
                <w:szCs w:val="10"/>
                <w:color w:val="auto"/>
              </w:rPr>
            </w:pPr>
          </w:p>
        </w:tc>
        <w:tc>
          <w:tcPr>
            <w:tcW w:w="58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DURING</w:t>
            </w:r>
          </w:p>
        </w:tc>
        <w:tc>
          <w:tcPr>
            <w:tcW w:w="240" w:type="dxa"/>
            <w:vAlign w:val="bottom"/>
          </w:tcPr>
          <w:p>
            <w:pPr>
              <w:spacing w:after="0"/>
              <w:rPr>
                <w:sz w:val="10"/>
                <w:szCs w:val="10"/>
                <w:color w:val="auto"/>
              </w:rPr>
            </w:pPr>
          </w:p>
        </w:tc>
        <w:tc>
          <w:tcPr>
            <w:tcW w:w="680" w:type="dxa"/>
            <w:vAlign w:val="bottom"/>
          </w:tcPr>
          <w:p>
            <w:pPr>
              <w:jc w:val="right"/>
              <w:ind w:right="22"/>
              <w:spacing w:after="0" w:line="122" w:lineRule="exact"/>
              <w:rPr>
                <w:sz w:val="20"/>
                <w:szCs w:val="20"/>
                <w:color w:val="auto"/>
              </w:rPr>
            </w:pPr>
            <w:r>
              <w:rPr>
                <w:rFonts w:ascii="Arial" w:cs="Arial" w:eastAsia="Arial" w:hAnsi="Arial"/>
                <w:sz w:val="11"/>
                <w:szCs w:val="11"/>
                <w:b w:val="1"/>
                <w:bCs w:val="1"/>
                <w:color w:val="auto"/>
              </w:rPr>
              <w:t>RSUS AND</w:t>
            </w:r>
          </w:p>
        </w:tc>
        <w:tc>
          <w:tcPr>
            <w:tcW w:w="320" w:type="dxa"/>
            <w:vAlign w:val="bottom"/>
          </w:tcPr>
          <w:p>
            <w:pPr>
              <w:spacing w:after="0"/>
              <w:rPr>
                <w:sz w:val="10"/>
                <w:szCs w:val="10"/>
                <w:color w:val="auto"/>
              </w:rPr>
            </w:pPr>
          </w:p>
        </w:tc>
        <w:tc>
          <w:tcPr>
            <w:tcW w:w="620" w:type="dxa"/>
            <w:vAlign w:val="bottom"/>
          </w:tcPr>
          <w:p>
            <w:pPr>
              <w:jc w:val="right"/>
              <w:ind w:right="42"/>
              <w:spacing w:after="0" w:line="122" w:lineRule="exact"/>
              <w:rPr>
                <w:sz w:val="20"/>
                <w:szCs w:val="20"/>
                <w:color w:val="auto"/>
              </w:rPr>
            </w:pPr>
            <w:r>
              <w:rPr>
                <w:rFonts w:ascii="Arial" w:cs="Arial" w:eastAsia="Arial" w:hAnsi="Arial"/>
                <w:sz w:val="11"/>
                <w:szCs w:val="11"/>
                <w:b w:val="1"/>
                <w:bCs w:val="1"/>
                <w:color w:val="auto"/>
              </w:rPr>
              <w:t>OPTIONS</w:t>
            </w:r>
          </w:p>
        </w:tc>
        <w:tc>
          <w:tcPr>
            <w:tcW w:w="820" w:type="dxa"/>
            <w:vAlign w:val="bottom"/>
            <w:gridSpan w:val="2"/>
          </w:tcPr>
          <w:p>
            <w:pPr>
              <w:jc w:val="right"/>
              <w:ind w:right="43"/>
              <w:spacing w:after="0" w:line="122" w:lineRule="exact"/>
              <w:rPr>
                <w:sz w:val="20"/>
                <w:szCs w:val="20"/>
                <w:color w:val="auto"/>
              </w:rPr>
            </w:pPr>
            <w:r>
              <w:rPr>
                <w:rFonts w:ascii="Arial" w:cs="Arial" w:eastAsia="Arial" w:hAnsi="Arial"/>
                <w:sz w:val="11"/>
                <w:szCs w:val="11"/>
                <w:b w:val="1"/>
                <w:bCs w:val="1"/>
                <w:color w:val="auto"/>
              </w:rPr>
              <w:t>VESTING</w:t>
            </w:r>
          </w:p>
        </w:tc>
        <w:tc>
          <w:tcPr>
            <w:tcW w:w="880" w:type="dxa"/>
            <w:vAlign w:val="bottom"/>
            <w:gridSpan w:val="2"/>
          </w:tcPr>
          <w:p>
            <w:pPr>
              <w:jc w:val="right"/>
              <w:ind w:right="22"/>
              <w:spacing w:after="0" w:line="122" w:lineRule="exact"/>
              <w:rPr>
                <w:sz w:val="20"/>
                <w:szCs w:val="20"/>
                <w:color w:val="auto"/>
              </w:rPr>
            </w:pPr>
            <w:r>
              <w:rPr>
                <w:rFonts w:ascii="Arial" w:cs="Arial" w:eastAsia="Arial" w:hAnsi="Arial"/>
                <w:sz w:val="11"/>
                <w:szCs w:val="11"/>
                <w:b w:val="1"/>
                <w:bCs w:val="1"/>
                <w:color w:val="auto"/>
              </w:rPr>
              <w:t>TO VESTING</w:t>
            </w:r>
          </w:p>
        </w:tc>
        <w:tc>
          <w:tcPr>
            <w:tcW w:w="1040" w:type="dxa"/>
            <w:vAlign w:val="bottom"/>
          </w:tcPr>
          <w:p>
            <w:pPr>
              <w:spacing w:after="0"/>
              <w:rPr>
                <w:sz w:val="10"/>
                <w:szCs w:val="10"/>
                <w:color w:val="auto"/>
              </w:rPr>
            </w:pPr>
          </w:p>
        </w:tc>
      </w:tr>
      <w:tr>
        <w:trPr>
          <w:trHeight w:val="121"/>
        </w:trPr>
        <w:tc>
          <w:tcPr>
            <w:tcW w:w="600" w:type="dxa"/>
            <w:vAlign w:val="bottom"/>
          </w:tcPr>
          <w:p>
            <w:pPr>
              <w:spacing w:after="0"/>
              <w:rPr>
                <w:sz w:val="10"/>
                <w:szCs w:val="10"/>
                <w:color w:val="auto"/>
              </w:rPr>
            </w:pPr>
          </w:p>
        </w:tc>
        <w:tc>
          <w:tcPr>
            <w:tcW w:w="840" w:type="dxa"/>
            <w:vAlign w:val="bottom"/>
          </w:tcPr>
          <w:p>
            <w:pPr>
              <w:jc w:val="right"/>
              <w:ind w:right="2"/>
              <w:spacing w:after="0" w:line="122" w:lineRule="exact"/>
              <w:rPr>
                <w:sz w:val="20"/>
                <w:szCs w:val="20"/>
                <w:color w:val="auto"/>
              </w:rPr>
            </w:pPr>
            <w:r>
              <w:rPr>
                <w:rFonts w:ascii="Arial" w:cs="Arial" w:eastAsia="Arial" w:hAnsi="Arial"/>
                <w:sz w:val="11"/>
                <w:szCs w:val="11"/>
                <w:b w:val="1"/>
                <w:bCs w:val="1"/>
                <w:color w:val="auto"/>
              </w:rPr>
              <w:t>COMP.</w:t>
            </w:r>
          </w:p>
        </w:tc>
        <w:tc>
          <w:tcPr>
            <w:tcW w:w="200" w:type="dxa"/>
            <w:vAlign w:val="bottom"/>
          </w:tcPr>
          <w:p>
            <w:pPr>
              <w:spacing w:after="0"/>
              <w:rPr>
                <w:sz w:val="10"/>
                <w:szCs w:val="10"/>
                <w:color w:val="auto"/>
              </w:rPr>
            </w:pPr>
          </w:p>
        </w:tc>
        <w:tc>
          <w:tcPr>
            <w:tcW w:w="580" w:type="dxa"/>
            <w:vAlign w:val="bottom"/>
          </w:tcPr>
          <w:p>
            <w:pPr>
              <w:jc w:val="right"/>
              <w:ind w:right="44"/>
              <w:spacing w:after="0" w:line="122" w:lineRule="exact"/>
              <w:rPr>
                <w:sz w:val="20"/>
                <w:szCs w:val="20"/>
                <w:color w:val="auto"/>
              </w:rPr>
            </w:pPr>
            <w:r>
              <w:rPr>
                <w:rFonts w:ascii="Arial" w:cs="Arial" w:eastAsia="Arial" w:hAnsi="Arial"/>
                <w:sz w:val="11"/>
                <w:szCs w:val="11"/>
                <w:b w:val="1"/>
                <w:bCs w:val="1"/>
                <w:color w:val="auto"/>
              </w:rPr>
              <w:t>GRANT</w:t>
            </w:r>
          </w:p>
        </w:tc>
        <w:tc>
          <w:tcPr>
            <w:tcW w:w="140" w:type="dxa"/>
            <w:vAlign w:val="bottom"/>
          </w:tcPr>
          <w:p>
            <w:pPr>
              <w:spacing w:after="0"/>
              <w:rPr>
                <w:sz w:val="10"/>
                <w:szCs w:val="10"/>
                <w:color w:val="auto"/>
              </w:rPr>
            </w:pPr>
          </w:p>
        </w:tc>
        <w:tc>
          <w:tcPr>
            <w:tcW w:w="520" w:type="dxa"/>
            <w:vAlign w:val="bottom"/>
          </w:tcPr>
          <w:p>
            <w:pPr>
              <w:jc w:val="right"/>
              <w:ind w:right="43"/>
              <w:spacing w:after="0" w:line="122" w:lineRule="exact"/>
              <w:rPr>
                <w:sz w:val="20"/>
                <w:szCs w:val="20"/>
                <w:color w:val="auto"/>
              </w:rPr>
            </w:pPr>
            <w:r>
              <w:rPr>
                <w:rFonts w:ascii="Arial" w:cs="Arial" w:eastAsia="Arial" w:hAnsi="Arial"/>
                <w:sz w:val="11"/>
                <w:szCs w:val="11"/>
                <w:b w:val="1"/>
                <w:bCs w:val="1"/>
                <w:color w:val="auto"/>
              </w:rPr>
              <w:t>GRANT</w:t>
            </w:r>
          </w:p>
        </w:tc>
        <w:tc>
          <w:tcPr>
            <w:tcW w:w="760" w:type="dxa"/>
            <w:vAlign w:val="bottom"/>
          </w:tcPr>
          <w:p>
            <w:pPr>
              <w:jc w:val="right"/>
              <w:ind w:right="3"/>
              <w:spacing w:after="0" w:line="122" w:lineRule="exact"/>
              <w:rPr>
                <w:sz w:val="20"/>
                <w:szCs w:val="20"/>
                <w:color w:val="auto"/>
              </w:rPr>
            </w:pPr>
            <w:r>
              <w:rPr>
                <w:rFonts w:ascii="Arial" w:cs="Arial" w:eastAsia="Arial" w:hAnsi="Arial"/>
                <w:sz w:val="11"/>
                <w:szCs w:val="11"/>
                <w:b w:val="1"/>
                <w:bCs w:val="1"/>
                <w:color w:val="auto"/>
              </w:rPr>
              <w:t>FY THAT</w:t>
            </w:r>
          </w:p>
        </w:tc>
        <w:tc>
          <w:tcPr>
            <w:tcW w:w="260" w:type="dxa"/>
            <w:vAlign w:val="bottom"/>
          </w:tcPr>
          <w:p>
            <w:pPr>
              <w:spacing w:after="0"/>
              <w:rPr>
                <w:sz w:val="10"/>
                <w:szCs w:val="10"/>
                <w:color w:val="auto"/>
              </w:rPr>
            </w:pPr>
          </w:p>
        </w:tc>
        <w:tc>
          <w:tcPr>
            <w:tcW w:w="58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w w:val="98"/>
              </w:rPr>
              <w:t>FY THAT</w:t>
            </w:r>
          </w:p>
        </w:tc>
        <w:tc>
          <w:tcPr>
            <w:tcW w:w="920" w:type="dxa"/>
            <w:vAlign w:val="bottom"/>
            <w:gridSpan w:val="2"/>
          </w:tcPr>
          <w:p>
            <w:pPr>
              <w:jc w:val="right"/>
              <w:ind w:right="42"/>
              <w:spacing w:after="0" w:line="122" w:lineRule="exact"/>
              <w:rPr>
                <w:sz w:val="20"/>
                <w:szCs w:val="20"/>
                <w:color w:val="auto"/>
              </w:rPr>
            </w:pPr>
            <w:r>
              <w:rPr>
                <w:rFonts w:ascii="Arial" w:cs="Arial" w:eastAsia="Arial" w:hAnsi="Arial"/>
                <w:sz w:val="11"/>
                <w:szCs w:val="11"/>
                <w:b w:val="1"/>
                <w:bCs w:val="1"/>
                <w:color w:val="auto"/>
              </w:rPr>
              <w:t>PSUS FROM</w:t>
            </w:r>
          </w:p>
        </w:tc>
        <w:tc>
          <w:tcPr>
            <w:tcW w:w="940" w:type="dxa"/>
            <w:vAlign w:val="bottom"/>
            <w:gridSpan w:val="2"/>
          </w:tcPr>
          <w:p>
            <w:pPr>
              <w:jc w:val="right"/>
              <w:ind w:right="42"/>
              <w:spacing w:after="0" w:line="122" w:lineRule="exact"/>
              <w:rPr>
                <w:sz w:val="20"/>
                <w:szCs w:val="20"/>
                <w:color w:val="auto"/>
              </w:rPr>
            </w:pPr>
            <w:r>
              <w:rPr>
                <w:rFonts w:ascii="Arial" w:cs="Arial" w:eastAsia="Arial" w:hAnsi="Arial"/>
                <w:sz w:val="11"/>
                <w:szCs w:val="11"/>
                <w:b w:val="1"/>
                <w:bCs w:val="1"/>
                <w:color w:val="auto"/>
              </w:rPr>
              <w:t>FROM END</w:t>
            </w:r>
          </w:p>
        </w:tc>
        <w:tc>
          <w:tcPr>
            <w:tcW w:w="820" w:type="dxa"/>
            <w:vAlign w:val="bottom"/>
            <w:gridSpan w:val="2"/>
          </w:tcPr>
          <w:p>
            <w:pPr>
              <w:jc w:val="right"/>
              <w:ind w:right="43"/>
              <w:spacing w:after="0" w:line="122" w:lineRule="exact"/>
              <w:rPr>
                <w:sz w:val="20"/>
                <w:szCs w:val="20"/>
                <w:color w:val="auto"/>
              </w:rPr>
            </w:pPr>
            <w:r>
              <w:rPr>
                <w:rFonts w:ascii="Arial" w:cs="Arial" w:eastAsia="Arial" w:hAnsi="Arial"/>
                <w:sz w:val="11"/>
                <w:szCs w:val="11"/>
                <w:b w:val="1"/>
                <w:bCs w:val="1"/>
                <w:color w:val="auto"/>
              </w:rPr>
              <w:t>DATE OF</w:t>
            </w:r>
          </w:p>
        </w:tc>
        <w:tc>
          <w:tcPr>
            <w:tcW w:w="180" w:type="dxa"/>
            <w:vAlign w:val="bottom"/>
          </w:tcPr>
          <w:p>
            <w:pPr>
              <w:spacing w:after="0"/>
              <w:rPr>
                <w:sz w:val="10"/>
                <w:szCs w:val="10"/>
                <w:color w:val="auto"/>
              </w:rPr>
            </w:pPr>
          </w:p>
        </w:tc>
        <w:tc>
          <w:tcPr>
            <w:tcW w:w="700" w:type="dxa"/>
            <w:vAlign w:val="bottom"/>
          </w:tcPr>
          <w:p>
            <w:pPr>
              <w:jc w:val="right"/>
              <w:ind w:right="22"/>
              <w:spacing w:after="0" w:line="122" w:lineRule="exact"/>
              <w:rPr>
                <w:sz w:val="20"/>
                <w:szCs w:val="20"/>
                <w:color w:val="auto"/>
              </w:rPr>
            </w:pPr>
            <w:r>
              <w:rPr>
                <w:rFonts w:ascii="Arial" w:cs="Arial" w:eastAsia="Arial" w:hAnsi="Arial"/>
                <w:sz w:val="11"/>
                <w:szCs w:val="11"/>
                <w:b w:val="1"/>
                <w:bCs w:val="1"/>
                <w:color w:val="auto"/>
              </w:rPr>
              <w:t>DATE OF</w:t>
            </w:r>
          </w:p>
        </w:tc>
        <w:tc>
          <w:tcPr>
            <w:tcW w:w="1040" w:type="dxa"/>
            <w:vAlign w:val="bottom"/>
          </w:tcPr>
          <w:p>
            <w:pPr>
              <w:spacing w:after="0"/>
              <w:rPr>
                <w:sz w:val="10"/>
                <w:szCs w:val="10"/>
                <w:color w:val="auto"/>
              </w:rPr>
            </w:pPr>
          </w:p>
        </w:tc>
      </w:tr>
      <w:tr>
        <w:trPr>
          <w:trHeight w:val="122"/>
        </w:trPr>
        <w:tc>
          <w:tcPr>
            <w:tcW w:w="600" w:type="dxa"/>
            <w:vAlign w:val="bottom"/>
          </w:tcPr>
          <w:p>
            <w:pPr>
              <w:spacing w:after="0"/>
              <w:rPr>
                <w:sz w:val="10"/>
                <w:szCs w:val="10"/>
                <w:color w:val="auto"/>
              </w:rPr>
            </w:pPr>
          </w:p>
        </w:tc>
        <w:tc>
          <w:tcPr>
            <w:tcW w:w="840" w:type="dxa"/>
            <w:vAlign w:val="bottom"/>
          </w:tcPr>
          <w:p>
            <w:pPr>
              <w:jc w:val="right"/>
              <w:ind w:right="42"/>
              <w:spacing w:after="0" w:line="122" w:lineRule="exact"/>
              <w:rPr>
                <w:sz w:val="20"/>
                <w:szCs w:val="20"/>
                <w:color w:val="auto"/>
              </w:rPr>
            </w:pPr>
            <w:r>
              <w:rPr>
                <w:rFonts w:ascii="Arial" w:cs="Arial" w:eastAsia="Arial" w:hAnsi="Arial"/>
                <w:sz w:val="11"/>
                <w:szCs w:val="11"/>
                <w:b w:val="1"/>
                <w:bCs w:val="1"/>
                <w:color w:val="auto"/>
              </w:rPr>
              <w:t>TABLE</w:t>
            </w:r>
          </w:p>
        </w:tc>
        <w:tc>
          <w:tcPr>
            <w:tcW w:w="200" w:type="dxa"/>
            <w:vAlign w:val="bottom"/>
          </w:tcPr>
          <w:p>
            <w:pPr>
              <w:spacing w:after="0"/>
              <w:rPr>
                <w:sz w:val="10"/>
                <w:szCs w:val="10"/>
                <w:color w:val="auto"/>
              </w:rPr>
            </w:pPr>
          </w:p>
        </w:tc>
        <w:tc>
          <w:tcPr>
            <w:tcW w:w="580" w:type="dxa"/>
            <w:vAlign w:val="bottom"/>
          </w:tcPr>
          <w:p>
            <w:pPr>
              <w:jc w:val="right"/>
              <w:ind w:right="44"/>
              <w:spacing w:after="0" w:line="122" w:lineRule="exact"/>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520" w:type="dxa"/>
            <w:vAlign w:val="bottom"/>
          </w:tcPr>
          <w:p>
            <w:pPr>
              <w:jc w:val="right"/>
              <w:ind w:right="43"/>
              <w:spacing w:after="0" w:line="122"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jc w:val="right"/>
              <w:ind w:right="3"/>
              <w:spacing w:after="0" w:line="122" w:lineRule="exact"/>
              <w:rPr>
                <w:sz w:val="20"/>
                <w:szCs w:val="20"/>
                <w:color w:val="auto"/>
              </w:rPr>
            </w:pPr>
            <w:r>
              <w:rPr>
                <w:rFonts w:ascii="Arial" w:cs="Arial" w:eastAsia="Arial" w:hAnsi="Arial"/>
                <w:sz w:val="11"/>
                <w:szCs w:val="11"/>
                <w:b w:val="1"/>
                <w:bCs w:val="1"/>
                <w:color w:val="auto"/>
              </w:rPr>
              <w:t>REMAINED</w:t>
            </w:r>
          </w:p>
        </w:tc>
        <w:tc>
          <w:tcPr>
            <w:tcW w:w="840" w:type="dxa"/>
            <w:vAlign w:val="bottom"/>
            <w:gridSpan w:val="2"/>
          </w:tcPr>
          <w:p>
            <w:pPr>
              <w:jc w:val="right"/>
              <w:ind w:right="40"/>
              <w:spacing w:after="0" w:line="122" w:lineRule="exact"/>
              <w:rPr>
                <w:sz w:val="20"/>
                <w:szCs w:val="20"/>
                <w:color w:val="auto"/>
              </w:rPr>
            </w:pPr>
            <w:r>
              <w:rPr>
                <w:rFonts w:ascii="Arial" w:cs="Arial" w:eastAsia="Arial" w:hAnsi="Arial"/>
                <w:sz w:val="11"/>
                <w:szCs w:val="11"/>
                <w:b w:val="1"/>
                <w:bCs w:val="1"/>
                <w:color w:val="auto"/>
              </w:rPr>
              <w:t>REMAINED</w:t>
            </w:r>
          </w:p>
        </w:tc>
        <w:tc>
          <w:tcPr>
            <w:tcW w:w="920" w:type="dxa"/>
            <w:vAlign w:val="bottom"/>
            <w:gridSpan w:val="2"/>
          </w:tcPr>
          <w:p>
            <w:pPr>
              <w:jc w:val="right"/>
              <w:ind w:right="22"/>
              <w:spacing w:after="0" w:line="122" w:lineRule="exact"/>
              <w:rPr>
                <w:sz w:val="20"/>
                <w:szCs w:val="20"/>
                <w:color w:val="auto"/>
              </w:rPr>
            </w:pPr>
            <w:r>
              <w:rPr>
                <w:rFonts w:ascii="Arial" w:cs="Arial" w:eastAsia="Arial" w:hAnsi="Arial"/>
                <w:sz w:val="11"/>
                <w:szCs w:val="11"/>
                <w:b w:val="1"/>
                <w:bCs w:val="1"/>
                <w:color w:val="auto"/>
              </w:rPr>
              <w:t>END OF PRIOR</w:t>
            </w:r>
          </w:p>
        </w:tc>
        <w:tc>
          <w:tcPr>
            <w:tcW w:w="320" w:type="dxa"/>
            <w:vAlign w:val="bottom"/>
          </w:tcPr>
          <w:p>
            <w:pPr>
              <w:spacing w:after="0"/>
              <w:rPr>
                <w:sz w:val="10"/>
                <w:szCs w:val="10"/>
                <w:color w:val="auto"/>
              </w:rPr>
            </w:pPr>
          </w:p>
        </w:tc>
        <w:tc>
          <w:tcPr>
            <w:tcW w:w="620" w:type="dxa"/>
            <w:vAlign w:val="bottom"/>
          </w:tcPr>
          <w:p>
            <w:pPr>
              <w:jc w:val="right"/>
              <w:ind w:right="42"/>
              <w:spacing w:after="0" w:line="122" w:lineRule="exact"/>
              <w:rPr>
                <w:sz w:val="20"/>
                <w:szCs w:val="20"/>
                <w:color w:val="auto"/>
              </w:rPr>
            </w:pPr>
            <w:r>
              <w:rPr>
                <w:rFonts w:ascii="Arial" w:cs="Arial" w:eastAsia="Arial" w:hAnsi="Arial"/>
                <w:sz w:val="11"/>
                <w:szCs w:val="11"/>
                <w:b w:val="1"/>
                <w:bCs w:val="1"/>
                <w:color w:val="auto"/>
                <w:w w:val="93"/>
              </w:rPr>
              <w:t>OF PRIOR</w:t>
            </w:r>
          </w:p>
        </w:tc>
        <w:tc>
          <w:tcPr>
            <w:tcW w:w="820" w:type="dxa"/>
            <w:vAlign w:val="bottom"/>
            <w:gridSpan w:val="2"/>
          </w:tcPr>
          <w:p>
            <w:pPr>
              <w:jc w:val="right"/>
              <w:ind w:right="43"/>
              <w:spacing w:after="0" w:line="122" w:lineRule="exact"/>
              <w:rPr>
                <w:sz w:val="20"/>
                <w:szCs w:val="20"/>
                <w:color w:val="auto"/>
              </w:rPr>
            </w:pPr>
            <w:r>
              <w:rPr>
                <w:rFonts w:ascii="Arial" w:cs="Arial" w:eastAsia="Arial" w:hAnsi="Arial"/>
                <w:sz w:val="11"/>
                <w:szCs w:val="11"/>
                <w:b w:val="1"/>
                <w:bCs w:val="1"/>
                <w:color w:val="auto"/>
              </w:rPr>
              <w:t>RSUS THAT</w:t>
            </w:r>
          </w:p>
        </w:tc>
        <w:tc>
          <w:tcPr>
            <w:tcW w:w="180" w:type="dxa"/>
            <w:vAlign w:val="bottom"/>
          </w:tcPr>
          <w:p>
            <w:pPr>
              <w:spacing w:after="0"/>
              <w:rPr>
                <w:sz w:val="10"/>
                <w:szCs w:val="10"/>
                <w:color w:val="auto"/>
              </w:rPr>
            </w:pPr>
          </w:p>
        </w:tc>
        <w:tc>
          <w:tcPr>
            <w:tcW w:w="700" w:type="dxa"/>
            <w:vAlign w:val="bottom"/>
          </w:tcPr>
          <w:p>
            <w:pPr>
              <w:jc w:val="right"/>
              <w:ind w:right="22"/>
              <w:spacing w:after="0" w:line="122" w:lineRule="exact"/>
              <w:rPr>
                <w:sz w:val="20"/>
                <w:szCs w:val="20"/>
                <w:color w:val="auto"/>
              </w:rPr>
            </w:pPr>
            <w:r>
              <w:rPr>
                <w:rFonts w:ascii="Arial" w:cs="Arial" w:eastAsia="Arial" w:hAnsi="Arial"/>
                <w:sz w:val="11"/>
                <w:szCs w:val="11"/>
                <w:b w:val="1"/>
                <w:bCs w:val="1"/>
                <w:color w:val="auto"/>
              </w:rPr>
              <w:t>OPTIONS</w:t>
            </w:r>
          </w:p>
        </w:tc>
        <w:tc>
          <w:tcPr>
            <w:tcW w:w="104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COMPENSATION</w:t>
            </w:r>
          </w:p>
        </w:tc>
      </w:tr>
      <w:tr>
        <w:trPr>
          <w:trHeight w:val="121"/>
        </w:trPr>
        <w:tc>
          <w:tcPr>
            <w:tcW w:w="600" w:type="dxa"/>
            <w:vAlign w:val="bottom"/>
          </w:tcPr>
          <w:p>
            <w:pPr>
              <w:spacing w:after="0"/>
              <w:rPr>
                <w:sz w:val="10"/>
                <w:szCs w:val="10"/>
                <w:color w:val="auto"/>
              </w:rPr>
            </w:pPr>
          </w:p>
        </w:tc>
        <w:tc>
          <w:tcPr>
            <w:tcW w:w="840" w:type="dxa"/>
            <w:vAlign w:val="bottom"/>
          </w:tcPr>
          <w:p>
            <w:pPr>
              <w:jc w:val="right"/>
              <w:ind w:right="42"/>
              <w:spacing w:after="0" w:line="122" w:lineRule="exact"/>
              <w:rPr>
                <w:sz w:val="20"/>
                <w:szCs w:val="20"/>
                <w:color w:val="auto"/>
              </w:rPr>
            </w:pPr>
            <w:r>
              <w:rPr>
                <w:rFonts w:ascii="Arial" w:cs="Arial" w:eastAsia="Arial" w:hAnsi="Arial"/>
                <w:sz w:val="11"/>
                <w:szCs w:val="11"/>
                <w:b w:val="1"/>
                <w:bCs w:val="1"/>
                <w:color w:val="auto"/>
              </w:rPr>
              <w:t>TOTAL FOR</w:t>
            </w:r>
          </w:p>
        </w:tc>
        <w:tc>
          <w:tcPr>
            <w:tcW w:w="200" w:type="dxa"/>
            <w:vAlign w:val="bottom"/>
          </w:tcPr>
          <w:p>
            <w:pPr>
              <w:spacing w:after="0"/>
              <w:rPr>
                <w:sz w:val="10"/>
                <w:szCs w:val="10"/>
                <w:color w:val="auto"/>
              </w:rPr>
            </w:pPr>
          </w:p>
        </w:tc>
        <w:tc>
          <w:tcPr>
            <w:tcW w:w="580" w:type="dxa"/>
            <w:vAlign w:val="bottom"/>
          </w:tcPr>
          <w:p>
            <w:pPr>
              <w:jc w:val="right"/>
              <w:ind w:right="44"/>
              <w:spacing w:after="0" w:line="122" w:lineRule="exact"/>
              <w:rPr>
                <w:sz w:val="20"/>
                <w:szCs w:val="20"/>
                <w:color w:val="auto"/>
              </w:rPr>
            </w:pPr>
            <w:r>
              <w:rPr>
                <w:rFonts w:ascii="Arial" w:cs="Arial" w:eastAsia="Arial" w:hAnsi="Arial"/>
                <w:sz w:val="11"/>
                <w:szCs w:val="11"/>
                <w:b w:val="1"/>
                <w:bCs w:val="1"/>
                <w:color w:val="auto"/>
              </w:rPr>
              <w:t>FAIR</w:t>
            </w:r>
          </w:p>
        </w:tc>
        <w:tc>
          <w:tcPr>
            <w:tcW w:w="140" w:type="dxa"/>
            <w:vAlign w:val="bottom"/>
          </w:tcPr>
          <w:p>
            <w:pPr>
              <w:spacing w:after="0"/>
              <w:rPr>
                <w:sz w:val="10"/>
                <w:szCs w:val="10"/>
                <w:color w:val="auto"/>
              </w:rPr>
            </w:pPr>
          </w:p>
        </w:tc>
        <w:tc>
          <w:tcPr>
            <w:tcW w:w="520" w:type="dxa"/>
            <w:vAlign w:val="bottom"/>
          </w:tcPr>
          <w:p>
            <w:pPr>
              <w:jc w:val="right"/>
              <w:ind w:right="43"/>
              <w:spacing w:after="0" w:line="122" w:lineRule="exact"/>
              <w:rPr>
                <w:sz w:val="20"/>
                <w:szCs w:val="20"/>
                <w:color w:val="auto"/>
              </w:rPr>
            </w:pPr>
            <w:r>
              <w:rPr>
                <w:rFonts w:ascii="Arial" w:cs="Arial" w:eastAsia="Arial" w:hAnsi="Arial"/>
                <w:sz w:val="11"/>
                <w:szCs w:val="11"/>
                <w:b w:val="1"/>
                <w:bCs w:val="1"/>
                <w:color w:val="auto"/>
              </w:rPr>
              <w:t>FAIR</w:t>
            </w:r>
          </w:p>
        </w:tc>
        <w:tc>
          <w:tcPr>
            <w:tcW w:w="760" w:type="dxa"/>
            <w:vAlign w:val="bottom"/>
          </w:tcPr>
          <w:p>
            <w:pPr>
              <w:jc w:val="right"/>
              <w:ind w:right="3"/>
              <w:spacing w:after="0" w:line="122" w:lineRule="exact"/>
              <w:rPr>
                <w:sz w:val="20"/>
                <w:szCs w:val="20"/>
                <w:color w:val="auto"/>
              </w:rPr>
            </w:pPr>
            <w:r>
              <w:rPr>
                <w:rFonts w:ascii="Arial" w:cs="Arial" w:eastAsia="Arial" w:hAnsi="Arial"/>
                <w:sz w:val="11"/>
                <w:szCs w:val="11"/>
                <w:b w:val="1"/>
                <w:bCs w:val="1"/>
                <w:color w:val="auto"/>
              </w:rPr>
              <w:t>UNVESTED</w:t>
            </w:r>
          </w:p>
        </w:tc>
        <w:tc>
          <w:tcPr>
            <w:tcW w:w="840" w:type="dxa"/>
            <w:vAlign w:val="bottom"/>
            <w:gridSpan w:val="2"/>
          </w:tcPr>
          <w:p>
            <w:pPr>
              <w:jc w:val="right"/>
              <w:ind w:right="40"/>
              <w:spacing w:after="0" w:line="122" w:lineRule="exact"/>
              <w:rPr>
                <w:sz w:val="20"/>
                <w:szCs w:val="20"/>
                <w:color w:val="auto"/>
              </w:rPr>
            </w:pPr>
            <w:r>
              <w:rPr>
                <w:rFonts w:ascii="Arial" w:cs="Arial" w:eastAsia="Arial" w:hAnsi="Arial"/>
                <w:sz w:val="11"/>
                <w:szCs w:val="11"/>
                <w:b w:val="1"/>
                <w:bCs w:val="1"/>
                <w:color w:val="auto"/>
              </w:rPr>
              <w:t>UNVESTED</w:t>
            </w:r>
          </w:p>
        </w:tc>
        <w:tc>
          <w:tcPr>
            <w:tcW w:w="240" w:type="dxa"/>
            <w:vAlign w:val="bottom"/>
          </w:tcPr>
          <w:p>
            <w:pPr>
              <w:spacing w:after="0"/>
              <w:rPr>
                <w:sz w:val="10"/>
                <w:szCs w:val="10"/>
                <w:color w:val="auto"/>
              </w:rPr>
            </w:pPr>
          </w:p>
        </w:tc>
        <w:tc>
          <w:tcPr>
            <w:tcW w:w="680" w:type="dxa"/>
            <w:vAlign w:val="bottom"/>
          </w:tcPr>
          <w:p>
            <w:pPr>
              <w:jc w:val="right"/>
              <w:ind w:right="22"/>
              <w:spacing w:after="0" w:line="122" w:lineRule="exact"/>
              <w:rPr>
                <w:sz w:val="20"/>
                <w:szCs w:val="20"/>
                <w:color w:val="auto"/>
              </w:rPr>
            </w:pPr>
            <w:r>
              <w:rPr>
                <w:rFonts w:ascii="Arial" w:cs="Arial" w:eastAsia="Arial" w:hAnsi="Arial"/>
                <w:sz w:val="11"/>
                <w:szCs w:val="11"/>
                <w:b w:val="1"/>
                <w:bCs w:val="1"/>
                <w:color w:val="auto"/>
              </w:rPr>
              <w:t>FY TO</w:t>
            </w:r>
          </w:p>
        </w:tc>
        <w:tc>
          <w:tcPr>
            <w:tcW w:w="320" w:type="dxa"/>
            <w:vAlign w:val="bottom"/>
          </w:tcPr>
          <w:p>
            <w:pPr>
              <w:spacing w:after="0"/>
              <w:rPr>
                <w:sz w:val="10"/>
                <w:szCs w:val="10"/>
                <w:color w:val="auto"/>
              </w:rPr>
            </w:pPr>
          </w:p>
        </w:tc>
        <w:tc>
          <w:tcPr>
            <w:tcW w:w="620" w:type="dxa"/>
            <w:vAlign w:val="bottom"/>
          </w:tcPr>
          <w:p>
            <w:pPr>
              <w:jc w:val="right"/>
              <w:ind w:right="42"/>
              <w:spacing w:after="0" w:line="122" w:lineRule="exact"/>
              <w:rPr>
                <w:sz w:val="20"/>
                <w:szCs w:val="20"/>
                <w:color w:val="auto"/>
              </w:rPr>
            </w:pPr>
            <w:r>
              <w:rPr>
                <w:rFonts w:ascii="Arial" w:cs="Arial" w:eastAsia="Arial" w:hAnsi="Arial"/>
                <w:sz w:val="11"/>
                <w:szCs w:val="11"/>
                <w:b w:val="1"/>
                <w:bCs w:val="1"/>
                <w:color w:val="auto"/>
              </w:rPr>
              <w:t>FY TO</w:t>
            </w:r>
          </w:p>
        </w:tc>
        <w:tc>
          <w:tcPr>
            <w:tcW w:w="820" w:type="dxa"/>
            <w:vAlign w:val="bottom"/>
            <w:gridSpan w:val="2"/>
          </w:tcPr>
          <w:p>
            <w:pPr>
              <w:jc w:val="right"/>
              <w:ind w:right="43"/>
              <w:spacing w:after="0" w:line="122" w:lineRule="exact"/>
              <w:rPr>
                <w:sz w:val="20"/>
                <w:szCs w:val="20"/>
                <w:color w:val="auto"/>
              </w:rPr>
            </w:pPr>
            <w:r>
              <w:rPr>
                <w:rFonts w:ascii="Arial" w:cs="Arial" w:eastAsia="Arial" w:hAnsi="Arial"/>
                <w:sz w:val="11"/>
                <w:szCs w:val="11"/>
                <w:b w:val="1"/>
                <w:bCs w:val="1"/>
                <w:color w:val="auto"/>
              </w:rPr>
              <w:t>VESTED IN</w:t>
            </w:r>
          </w:p>
        </w:tc>
        <w:tc>
          <w:tcPr>
            <w:tcW w:w="880" w:type="dxa"/>
            <w:vAlign w:val="bottom"/>
            <w:gridSpan w:val="2"/>
          </w:tcPr>
          <w:p>
            <w:pPr>
              <w:jc w:val="right"/>
              <w:ind w:right="22"/>
              <w:spacing w:after="0" w:line="122" w:lineRule="exact"/>
              <w:rPr>
                <w:sz w:val="20"/>
                <w:szCs w:val="20"/>
                <w:color w:val="auto"/>
              </w:rPr>
            </w:pPr>
            <w:r>
              <w:rPr>
                <w:rFonts w:ascii="Arial" w:cs="Arial" w:eastAsia="Arial" w:hAnsi="Arial"/>
                <w:sz w:val="11"/>
                <w:szCs w:val="11"/>
                <w:b w:val="1"/>
                <w:bCs w:val="1"/>
                <w:color w:val="auto"/>
              </w:rPr>
              <w:t>THAT VESTED</w:t>
            </w:r>
          </w:p>
        </w:tc>
        <w:tc>
          <w:tcPr>
            <w:tcW w:w="1040" w:type="dxa"/>
            <w:vAlign w:val="bottom"/>
          </w:tcPr>
          <w:p>
            <w:pPr>
              <w:jc w:val="right"/>
              <w:ind w:right="40"/>
              <w:spacing w:after="0" w:line="122" w:lineRule="exact"/>
              <w:rPr>
                <w:sz w:val="20"/>
                <w:szCs w:val="20"/>
                <w:color w:val="auto"/>
              </w:rPr>
            </w:pPr>
            <w:r>
              <w:rPr>
                <w:rFonts w:ascii="Arial" w:cs="Arial" w:eastAsia="Arial" w:hAnsi="Arial"/>
                <w:sz w:val="11"/>
                <w:szCs w:val="11"/>
                <w:b w:val="1"/>
                <w:bCs w:val="1"/>
                <w:color w:val="auto"/>
              </w:rPr>
              <w:t>ACTUALLY PAID</w:t>
            </w:r>
          </w:p>
        </w:tc>
      </w:tr>
      <w:tr>
        <w:trPr>
          <w:trHeight w:val="148"/>
        </w:trPr>
        <w:tc>
          <w:tcPr>
            <w:tcW w:w="600" w:type="dxa"/>
            <w:vAlign w:val="bottom"/>
          </w:tcPr>
          <w:p>
            <w:pPr>
              <w:ind w:left="140"/>
              <w:spacing w:after="0"/>
              <w:rPr>
                <w:sz w:val="20"/>
                <w:szCs w:val="20"/>
                <w:color w:val="auto"/>
              </w:rPr>
            </w:pPr>
            <w:r>
              <w:rPr>
                <w:rFonts w:ascii="Arial" w:cs="Arial" w:eastAsia="Arial" w:hAnsi="Arial"/>
                <w:sz w:val="11"/>
                <w:szCs w:val="11"/>
                <w:b w:val="1"/>
                <w:bCs w:val="1"/>
                <w:color w:val="auto"/>
              </w:rPr>
              <w:t>YEAR</w:t>
            </w:r>
          </w:p>
        </w:tc>
        <w:tc>
          <w:tcPr>
            <w:tcW w:w="840" w:type="dxa"/>
            <w:vAlign w:val="bottom"/>
          </w:tcPr>
          <w:p>
            <w:pPr>
              <w:jc w:val="right"/>
              <w:ind w:right="2"/>
              <w:spacing w:after="0"/>
              <w:rPr>
                <w:sz w:val="20"/>
                <w:szCs w:val="20"/>
                <w:color w:val="auto"/>
              </w:rPr>
            </w:pPr>
            <w:r>
              <w:rPr>
                <w:rFonts w:ascii="Arial" w:cs="Arial" w:eastAsia="Arial" w:hAnsi="Arial"/>
                <w:sz w:val="11"/>
                <w:szCs w:val="11"/>
                <w:b w:val="1"/>
                <w:bCs w:val="1"/>
                <w:color w:val="auto"/>
              </w:rPr>
              <w:t>CEO</w:t>
            </w:r>
          </w:p>
        </w:tc>
        <w:tc>
          <w:tcPr>
            <w:tcW w:w="200" w:type="dxa"/>
            <w:vAlign w:val="bottom"/>
          </w:tcPr>
          <w:p>
            <w:pPr>
              <w:spacing w:after="0"/>
              <w:rPr>
                <w:sz w:val="12"/>
                <w:szCs w:val="12"/>
                <w:color w:val="auto"/>
              </w:rPr>
            </w:pPr>
          </w:p>
        </w:tc>
        <w:tc>
          <w:tcPr>
            <w:tcW w:w="580" w:type="dxa"/>
            <w:vAlign w:val="bottom"/>
          </w:tcPr>
          <w:p>
            <w:pPr>
              <w:jc w:val="right"/>
              <w:ind w:right="24"/>
              <w:spacing w:after="0"/>
              <w:rPr>
                <w:sz w:val="20"/>
                <w:szCs w:val="20"/>
                <w:color w:val="auto"/>
              </w:rPr>
            </w:pPr>
            <w:r>
              <w:rPr>
                <w:rFonts w:ascii="Arial" w:cs="Arial" w:eastAsia="Arial" w:hAnsi="Arial"/>
                <w:sz w:val="11"/>
                <w:szCs w:val="11"/>
                <w:b w:val="1"/>
                <w:bCs w:val="1"/>
                <w:color w:val="auto"/>
              </w:rPr>
              <w:t>VALUES</w:t>
            </w:r>
          </w:p>
        </w:tc>
        <w:tc>
          <w:tcPr>
            <w:tcW w:w="140" w:type="dxa"/>
            <w:vAlign w:val="bottom"/>
          </w:tcPr>
          <w:p>
            <w:pPr>
              <w:spacing w:after="0"/>
              <w:rPr>
                <w:sz w:val="12"/>
                <w:szCs w:val="12"/>
                <w:color w:val="auto"/>
              </w:rPr>
            </w:pPr>
          </w:p>
        </w:tc>
        <w:tc>
          <w:tcPr>
            <w:tcW w:w="520" w:type="dxa"/>
            <w:vAlign w:val="bottom"/>
          </w:tcPr>
          <w:p>
            <w:pPr>
              <w:jc w:val="right"/>
              <w:ind w:right="23"/>
              <w:spacing w:after="0"/>
              <w:rPr>
                <w:sz w:val="20"/>
                <w:szCs w:val="20"/>
                <w:color w:val="auto"/>
              </w:rPr>
            </w:pPr>
            <w:r>
              <w:rPr>
                <w:rFonts w:ascii="Arial" w:cs="Arial" w:eastAsia="Arial" w:hAnsi="Arial"/>
                <w:sz w:val="11"/>
                <w:szCs w:val="11"/>
                <w:b w:val="1"/>
                <w:bCs w:val="1"/>
                <w:color w:val="auto"/>
                <w:w w:val="94"/>
              </w:rPr>
              <w:t>VALUES</w:t>
            </w:r>
          </w:p>
        </w:tc>
        <w:tc>
          <w:tcPr>
            <w:tcW w:w="760" w:type="dxa"/>
            <w:vAlign w:val="bottom"/>
          </w:tcPr>
          <w:p>
            <w:pPr>
              <w:jc w:val="right"/>
              <w:ind w:right="3"/>
              <w:spacing w:after="0"/>
              <w:rPr>
                <w:sz w:val="20"/>
                <w:szCs w:val="20"/>
                <w:color w:val="auto"/>
              </w:rPr>
            </w:pPr>
            <w:r>
              <w:rPr>
                <w:rFonts w:ascii="Arial" w:cs="Arial" w:eastAsia="Arial" w:hAnsi="Arial"/>
                <w:sz w:val="11"/>
                <w:szCs w:val="11"/>
                <w:b w:val="1"/>
                <w:bCs w:val="1"/>
                <w:color w:val="auto"/>
              </w:rPr>
              <w:t>AS OF FYE</w:t>
            </w:r>
          </w:p>
        </w:tc>
        <w:tc>
          <w:tcPr>
            <w:tcW w:w="840" w:type="dxa"/>
            <w:vAlign w:val="bottom"/>
            <w:gridSpan w:val="2"/>
          </w:tcPr>
          <w:p>
            <w:pPr>
              <w:jc w:val="right"/>
              <w:spacing w:after="0"/>
              <w:rPr>
                <w:sz w:val="20"/>
                <w:szCs w:val="20"/>
                <w:color w:val="auto"/>
              </w:rPr>
            </w:pPr>
            <w:r>
              <w:rPr>
                <w:rFonts w:ascii="Arial" w:cs="Arial" w:eastAsia="Arial" w:hAnsi="Arial"/>
                <w:sz w:val="11"/>
                <w:szCs w:val="11"/>
                <w:b w:val="1"/>
                <w:bCs w:val="1"/>
                <w:color w:val="auto"/>
              </w:rPr>
              <w:t>AS OF FYE</w:t>
            </w:r>
          </w:p>
        </w:tc>
        <w:tc>
          <w:tcPr>
            <w:tcW w:w="240" w:type="dxa"/>
            <w:vAlign w:val="bottom"/>
          </w:tcPr>
          <w:p>
            <w:pPr>
              <w:spacing w:after="0"/>
              <w:rPr>
                <w:sz w:val="12"/>
                <w:szCs w:val="12"/>
                <w:color w:val="auto"/>
              </w:rPr>
            </w:pPr>
          </w:p>
        </w:tc>
        <w:tc>
          <w:tcPr>
            <w:tcW w:w="680" w:type="dxa"/>
            <w:vAlign w:val="bottom"/>
          </w:tcPr>
          <w:p>
            <w:pPr>
              <w:jc w:val="right"/>
              <w:ind w:right="22"/>
              <w:spacing w:after="0"/>
              <w:rPr>
                <w:sz w:val="20"/>
                <w:szCs w:val="20"/>
                <w:color w:val="auto"/>
              </w:rPr>
            </w:pPr>
            <w:r>
              <w:rPr>
                <w:rFonts w:ascii="Arial" w:cs="Arial" w:eastAsia="Arial" w:hAnsi="Arial"/>
                <w:sz w:val="11"/>
                <w:szCs w:val="11"/>
                <w:b w:val="1"/>
                <w:bCs w:val="1"/>
                <w:color w:val="auto"/>
              </w:rPr>
              <w:t>FYE</w:t>
            </w:r>
          </w:p>
        </w:tc>
        <w:tc>
          <w:tcPr>
            <w:tcW w:w="320" w:type="dxa"/>
            <w:vAlign w:val="bottom"/>
          </w:tcPr>
          <w:p>
            <w:pPr>
              <w:spacing w:after="0"/>
              <w:rPr>
                <w:sz w:val="12"/>
                <w:szCs w:val="12"/>
                <w:color w:val="auto"/>
              </w:rPr>
            </w:pPr>
          </w:p>
        </w:tc>
        <w:tc>
          <w:tcPr>
            <w:tcW w:w="620" w:type="dxa"/>
            <w:vAlign w:val="bottom"/>
          </w:tcPr>
          <w:p>
            <w:pPr>
              <w:jc w:val="right"/>
              <w:ind w:right="2"/>
              <w:spacing w:after="0"/>
              <w:rPr>
                <w:sz w:val="20"/>
                <w:szCs w:val="20"/>
                <w:color w:val="auto"/>
              </w:rPr>
            </w:pPr>
            <w:r>
              <w:rPr>
                <w:rFonts w:ascii="Arial" w:cs="Arial" w:eastAsia="Arial" w:hAnsi="Arial"/>
                <w:sz w:val="11"/>
                <w:szCs w:val="11"/>
                <w:b w:val="1"/>
                <w:bCs w:val="1"/>
                <w:color w:val="auto"/>
              </w:rPr>
              <w:t>FYE</w:t>
            </w:r>
          </w:p>
        </w:tc>
        <w:tc>
          <w:tcPr>
            <w:tcW w:w="360" w:type="dxa"/>
            <w:vAlign w:val="bottom"/>
          </w:tcPr>
          <w:p>
            <w:pPr>
              <w:spacing w:after="0"/>
              <w:rPr>
                <w:sz w:val="12"/>
                <w:szCs w:val="12"/>
                <w:color w:val="auto"/>
              </w:rPr>
            </w:pPr>
          </w:p>
        </w:tc>
        <w:tc>
          <w:tcPr>
            <w:tcW w:w="460" w:type="dxa"/>
            <w:vAlign w:val="bottom"/>
          </w:tcPr>
          <w:p>
            <w:pPr>
              <w:jc w:val="right"/>
              <w:ind w:right="23"/>
              <w:spacing w:after="0"/>
              <w:rPr>
                <w:sz w:val="20"/>
                <w:szCs w:val="20"/>
                <w:color w:val="auto"/>
              </w:rPr>
            </w:pPr>
            <w:r>
              <w:rPr>
                <w:rFonts w:ascii="Arial" w:cs="Arial" w:eastAsia="Arial" w:hAnsi="Arial"/>
                <w:sz w:val="11"/>
                <w:szCs w:val="11"/>
                <w:b w:val="1"/>
                <w:bCs w:val="1"/>
                <w:color w:val="auto"/>
              </w:rPr>
              <w:t>FY</w:t>
            </w:r>
          </w:p>
        </w:tc>
        <w:tc>
          <w:tcPr>
            <w:tcW w:w="180" w:type="dxa"/>
            <w:vAlign w:val="bottom"/>
          </w:tcPr>
          <w:p>
            <w:pPr>
              <w:spacing w:after="0"/>
              <w:rPr>
                <w:sz w:val="12"/>
                <w:szCs w:val="12"/>
                <w:color w:val="auto"/>
              </w:rPr>
            </w:pPr>
          </w:p>
        </w:tc>
        <w:tc>
          <w:tcPr>
            <w:tcW w:w="700" w:type="dxa"/>
            <w:vAlign w:val="bottom"/>
          </w:tcPr>
          <w:p>
            <w:pPr>
              <w:jc w:val="right"/>
              <w:ind w:right="22"/>
              <w:spacing w:after="0"/>
              <w:rPr>
                <w:sz w:val="20"/>
                <w:szCs w:val="20"/>
                <w:color w:val="auto"/>
              </w:rPr>
            </w:pPr>
            <w:r>
              <w:rPr>
                <w:rFonts w:ascii="Arial" w:cs="Arial" w:eastAsia="Arial" w:hAnsi="Arial"/>
                <w:sz w:val="11"/>
                <w:szCs w:val="11"/>
                <w:b w:val="1"/>
                <w:bCs w:val="1"/>
                <w:color w:val="auto"/>
              </w:rPr>
              <w:t>IN FY</w:t>
            </w:r>
          </w:p>
        </w:tc>
        <w:tc>
          <w:tcPr>
            <w:tcW w:w="1040" w:type="dxa"/>
            <w:vAlign w:val="bottom"/>
          </w:tcPr>
          <w:p>
            <w:pPr>
              <w:jc w:val="right"/>
              <w:ind w:right="40"/>
              <w:spacing w:after="0"/>
              <w:rPr>
                <w:sz w:val="20"/>
                <w:szCs w:val="20"/>
                <w:color w:val="auto"/>
              </w:rPr>
            </w:pPr>
            <w:r>
              <w:rPr>
                <w:rFonts w:ascii="Arial" w:cs="Arial" w:eastAsia="Arial" w:hAnsi="Arial"/>
                <w:sz w:val="11"/>
                <w:szCs w:val="11"/>
                <w:b w:val="1"/>
                <w:bCs w:val="1"/>
                <w:color w:val="auto"/>
              </w:rPr>
              <w:t>TO CEO</w:t>
            </w:r>
          </w:p>
        </w:tc>
      </w:tr>
      <w:tr>
        <w:trPr>
          <w:trHeight w:val="68"/>
        </w:trPr>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gridSpan w:val="2"/>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35"/>
        </w:trPr>
        <w:tc>
          <w:tcPr>
            <w:tcW w:w="600" w:type="dxa"/>
            <w:vAlign w:val="bottom"/>
            <w:shd w:val="clear" w:color="auto" w:fill="E6E6E6"/>
          </w:tcPr>
          <w:p>
            <w:pPr>
              <w:ind w:left="140"/>
              <w:spacing w:after="0"/>
              <w:rPr>
                <w:sz w:val="20"/>
                <w:szCs w:val="20"/>
                <w:color w:val="auto"/>
              </w:rPr>
            </w:pPr>
            <w:r>
              <w:rPr>
                <w:rFonts w:ascii="Arial" w:cs="Arial" w:eastAsia="Arial" w:hAnsi="Arial"/>
                <w:sz w:val="13"/>
                <w:szCs w:val="13"/>
                <w:b w:val="1"/>
                <w:bCs w:val="1"/>
                <w:color w:val="auto"/>
              </w:rPr>
              <w:t>FY26</w:t>
            </w:r>
          </w:p>
        </w:tc>
        <w:tc>
          <w:tcPr>
            <w:tcW w:w="840" w:type="dxa"/>
            <w:vAlign w:val="bottom"/>
            <w:shd w:val="clear" w:color="auto" w:fill="E6E6E6"/>
          </w:tcPr>
          <w:p>
            <w:pPr>
              <w:jc w:val="right"/>
              <w:ind w:right="2"/>
              <w:spacing w:after="0"/>
              <w:rPr>
                <w:sz w:val="20"/>
                <w:szCs w:val="20"/>
                <w:color w:val="auto"/>
              </w:rPr>
            </w:pPr>
            <w:r>
              <w:rPr>
                <w:rFonts w:ascii="Arial" w:cs="Arial" w:eastAsia="Arial" w:hAnsi="Arial"/>
                <w:sz w:val="13"/>
                <w:szCs w:val="13"/>
                <w:color w:val="auto"/>
              </w:rPr>
              <w:t>$5,228,254</w:t>
            </w:r>
          </w:p>
        </w:tc>
        <w:tc>
          <w:tcPr>
            <w:tcW w:w="780" w:type="dxa"/>
            <w:vAlign w:val="bottom"/>
            <w:gridSpan w:val="2"/>
            <w:shd w:val="clear" w:color="auto" w:fill="E6E6E6"/>
          </w:tcPr>
          <w:p>
            <w:pPr>
              <w:jc w:val="right"/>
              <w:ind w:right="24"/>
              <w:spacing w:after="0"/>
              <w:rPr>
                <w:sz w:val="20"/>
                <w:szCs w:val="20"/>
                <w:color w:val="auto"/>
              </w:rPr>
            </w:pPr>
            <w:r>
              <w:rPr>
                <w:rFonts w:ascii="Arial" w:cs="Arial" w:eastAsia="Arial" w:hAnsi="Arial"/>
                <w:sz w:val="13"/>
                <w:szCs w:val="13"/>
                <w:color w:val="auto"/>
              </w:rPr>
              <w:t>$1,949,998</w:t>
            </w:r>
          </w:p>
        </w:tc>
        <w:tc>
          <w:tcPr>
            <w:tcW w:w="1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E6E6E6"/>
          </w:tcPr>
          <w:p>
            <w:pPr>
              <w:jc w:val="right"/>
              <w:ind w:right="23"/>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6E6"/>
          </w:tcPr>
          <w:p>
            <w:pPr>
              <w:jc w:val="right"/>
              <w:ind w:right="3"/>
              <w:spacing w:after="0"/>
              <w:rPr>
                <w:sz w:val="20"/>
                <w:szCs w:val="20"/>
                <w:color w:val="auto"/>
              </w:rPr>
            </w:pPr>
            <w:r>
              <w:rPr>
                <w:rFonts w:ascii="Arial" w:cs="Arial" w:eastAsia="Arial" w:hAnsi="Arial"/>
                <w:sz w:val="13"/>
                <w:szCs w:val="13"/>
                <w:color w:val="auto"/>
              </w:rPr>
              <w:t>$3,300,665</w:t>
            </w:r>
          </w:p>
        </w:tc>
        <w:tc>
          <w:tcPr>
            <w:tcW w:w="2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22"/>
              <w:spacing w:after="0"/>
              <w:rPr>
                <w:sz w:val="20"/>
                <w:szCs w:val="20"/>
                <w:color w:val="auto"/>
              </w:rPr>
            </w:pPr>
            <w:r>
              <w:rPr>
                <w:rFonts w:ascii="Arial" w:cs="Arial" w:eastAsia="Arial" w:hAnsi="Arial"/>
                <w:sz w:val="13"/>
                <w:szCs w:val="13"/>
                <w:color w:val="auto"/>
              </w:rPr>
              <w:t>793,839</w:t>
            </w:r>
          </w:p>
        </w:tc>
        <w:tc>
          <w:tcPr>
            <w:tcW w:w="320" w:type="dxa"/>
            <w:vAlign w:val="bottom"/>
            <w:shd w:val="clear" w:color="auto" w:fill="E6E6E6"/>
          </w:tcPr>
          <w:p>
            <w:pPr>
              <w:ind w:left="240"/>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E6E6E6"/>
          </w:tcPr>
          <w:p>
            <w:pPr>
              <w:jc w:val="right"/>
              <w:ind w:right="2"/>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E6E6E6"/>
          </w:tcPr>
          <w:p>
            <w:pPr>
              <w:jc w:val="right"/>
              <w:ind w:right="23"/>
              <w:spacing w:after="0"/>
              <w:rPr>
                <w:sz w:val="20"/>
                <w:szCs w:val="20"/>
                <w:color w:val="auto"/>
              </w:rPr>
            </w:pPr>
            <w:r>
              <w:rPr>
                <w:rFonts w:ascii="Arial" w:cs="Arial" w:eastAsia="Arial" w:hAnsi="Arial"/>
                <w:sz w:val="13"/>
                <w:szCs w:val="13"/>
                <w:color w:val="auto"/>
              </w:rPr>
              <w:t>$(46,579)</w:t>
            </w:r>
          </w:p>
        </w:tc>
        <w:tc>
          <w:tcPr>
            <w:tcW w:w="1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6E6"/>
          </w:tcPr>
          <w:p>
            <w:pPr>
              <w:jc w:val="right"/>
              <w:ind w:right="22"/>
              <w:spacing w:after="0"/>
              <w:rPr>
                <w:sz w:val="20"/>
                <w:szCs w:val="20"/>
                <w:color w:val="auto"/>
              </w:rPr>
            </w:pPr>
            <w:r>
              <w:rPr>
                <w:rFonts w:ascii="Arial" w:cs="Arial" w:eastAsia="Arial" w:hAnsi="Arial"/>
                <w:sz w:val="13"/>
                <w:szCs w:val="13"/>
                <w:color w:val="auto"/>
              </w:rPr>
              <w:t>(60,137)</w:t>
            </w:r>
          </w:p>
        </w:tc>
        <w:tc>
          <w:tcPr>
            <w:tcW w:w="1040" w:type="dxa"/>
            <w:vAlign w:val="bottom"/>
            <w:shd w:val="clear" w:color="auto" w:fill="E6E6E6"/>
          </w:tcPr>
          <w:p>
            <w:pPr>
              <w:jc w:val="right"/>
              <w:ind w:right="40"/>
              <w:spacing w:after="0"/>
              <w:rPr>
                <w:sz w:val="20"/>
                <w:szCs w:val="20"/>
                <w:color w:val="auto"/>
              </w:rPr>
            </w:pPr>
            <w:r>
              <w:rPr>
                <w:rFonts w:ascii="Arial" w:cs="Arial" w:eastAsia="Arial" w:hAnsi="Arial"/>
                <w:sz w:val="13"/>
                <w:szCs w:val="13"/>
                <w:color w:val="auto"/>
              </w:rPr>
              <w:t>$ 7,266,043</w:t>
            </w:r>
          </w:p>
        </w:tc>
      </w:tr>
      <w:tr>
        <w:trPr>
          <w:trHeight w:val="62"/>
        </w:trPr>
        <w:tc>
          <w:tcPr>
            <w:tcW w:w="600" w:type="dxa"/>
            <w:vAlign w:val="bottom"/>
            <w:shd w:val="clear" w:color="auto" w:fill="E6E6E6"/>
          </w:tcPr>
          <w:p>
            <w:pPr>
              <w:spacing w:after="0"/>
              <w:rPr>
                <w:sz w:val="5"/>
                <w:szCs w:val="5"/>
                <w:color w:val="auto"/>
              </w:rPr>
            </w:pPr>
          </w:p>
        </w:tc>
        <w:tc>
          <w:tcPr>
            <w:tcW w:w="840" w:type="dxa"/>
            <w:vAlign w:val="bottom"/>
            <w:shd w:val="clear" w:color="auto" w:fill="E6E6E6"/>
          </w:tcPr>
          <w:p>
            <w:pPr>
              <w:spacing w:after="0"/>
              <w:rPr>
                <w:sz w:val="5"/>
                <w:szCs w:val="5"/>
                <w:color w:val="auto"/>
              </w:rPr>
            </w:pPr>
          </w:p>
        </w:tc>
        <w:tc>
          <w:tcPr>
            <w:tcW w:w="780" w:type="dxa"/>
            <w:vAlign w:val="bottom"/>
            <w:gridSpan w:val="2"/>
            <w:shd w:val="clear" w:color="auto" w:fill="E6E6E6"/>
          </w:tcPr>
          <w:p>
            <w:pPr>
              <w:spacing w:after="0"/>
              <w:rPr>
                <w:sz w:val="5"/>
                <w:szCs w:val="5"/>
                <w:color w:val="auto"/>
              </w:rPr>
            </w:pPr>
          </w:p>
        </w:tc>
        <w:tc>
          <w:tcPr>
            <w:tcW w:w="140" w:type="dxa"/>
            <w:vAlign w:val="bottom"/>
            <w:shd w:val="clear" w:color="auto" w:fill="E6E6E6"/>
          </w:tcPr>
          <w:p>
            <w:pPr>
              <w:spacing w:after="0"/>
              <w:rPr>
                <w:sz w:val="5"/>
                <w:szCs w:val="5"/>
                <w:color w:val="auto"/>
              </w:rPr>
            </w:pPr>
          </w:p>
        </w:tc>
        <w:tc>
          <w:tcPr>
            <w:tcW w:w="520" w:type="dxa"/>
            <w:vAlign w:val="bottom"/>
            <w:shd w:val="clear" w:color="auto" w:fill="E6E6E6"/>
          </w:tcPr>
          <w:p>
            <w:pPr>
              <w:spacing w:after="0"/>
              <w:rPr>
                <w:sz w:val="5"/>
                <w:szCs w:val="5"/>
                <w:color w:val="auto"/>
              </w:rPr>
            </w:pPr>
          </w:p>
        </w:tc>
        <w:tc>
          <w:tcPr>
            <w:tcW w:w="760" w:type="dxa"/>
            <w:vAlign w:val="bottom"/>
            <w:shd w:val="clear" w:color="auto" w:fill="E6E6E6"/>
          </w:tcPr>
          <w:p>
            <w:pPr>
              <w:spacing w:after="0"/>
              <w:rPr>
                <w:sz w:val="5"/>
                <w:szCs w:val="5"/>
                <w:color w:val="auto"/>
              </w:rPr>
            </w:pPr>
          </w:p>
        </w:tc>
        <w:tc>
          <w:tcPr>
            <w:tcW w:w="260" w:type="dxa"/>
            <w:vAlign w:val="bottom"/>
            <w:shd w:val="clear" w:color="auto" w:fill="E6E6E6"/>
          </w:tcPr>
          <w:p>
            <w:pPr>
              <w:spacing w:after="0"/>
              <w:rPr>
                <w:sz w:val="5"/>
                <w:szCs w:val="5"/>
                <w:color w:val="auto"/>
              </w:rPr>
            </w:pPr>
          </w:p>
        </w:tc>
        <w:tc>
          <w:tcPr>
            <w:tcW w:w="580" w:type="dxa"/>
            <w:vAlign w:val="bottom"/>
            <w:shd w:val="clear" w:color="auto" w:fill="E6E6E6"/>
          </w:tcPr>
          <w:p>
            <w:pPr>
              <w:spacing w:after="0"/>
              <w:rPr>
                <w:sz w:val="5"/>
                <w:szCs w:val="5"/>
                <w:color w:val="auto"/>
              </w:rPr>
            </w:pPr>
          </w:p>
        </w:tc>
        <w:tc>
          <w:tcPr>
            <w:tcW w:w="920" w:type="dxa"/>
            <w:vAlign w:val="bottom"/>
            <w:gridSpan w:val="2"/>
            <w:shd w:val="clear" w:color="auto" w:fill="E6E6E6"/>
          </w:tcPr>
          <w:p>
            <w:pPr>
              <w:spacing w:after="0"/>
              <w:rPr>
                <w:sz w:val="5"/>
                <w:szCs w:val="5"/>
                <w:color w:val="auto"/>
              </w:rPr>
            </w:pPr>
          </w:p>
        </w:tc>
        <w:tc>
          <w:tcPr>
            <w:tcW w:w="320" w:type="dxa"/>
            <w:vAlign w:val="bottom"/>
            <w:shd w:val="clear" w:color="auto" w:fill="E6E6E6"/>
          </w:tcPr>
          <w:p>
            <w:pPr>
              <w:spacing w:after="0"/>
              <w:rPr>
                <w:sz w:val="5"/>
                <w:szCs w:val="5"/>
                <w:color w:val="auto"/>
              </w:rPr>
            </w:pPr>
          </w:p>
        </w:tc>
        <w:tc>
          <w:tcPr>
            <w:tcW w:w="620" w:type="dxa"/>
            <w:vAlign w:val="bottom"/>
            <w:shd w:val="clear" w:color="auto" w:fill="E6E6E6"/>
          </w:tcPr>
          <w:p>
            <w:pPr>
              <w:spacing w:after="0"/>
              <w:rPr>
                <w:sz w:val="5"/>
                <w:szCs w:val="5"/>
                <w:color w:val="auto"/>
              </w:rPr>
            </w:pPr>
          </w:p>
        </w:tc>
        <w:tc>
          <w:tcPr>
            <w:tcW w:w="820" w:type="dxa"/>
            <w:vAlign w:val="bottom"/>
            <w:gridSpan w:val="2"/>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1040" w:type="dxa"/>
            <w:vAlign w:val="bottom"/>
            <w:shd w:val="clear" w:color="auto" w:fill="E6E6E6"/>
          </w:tcPr>
          <w:p>
            <w:pPr>
              <w:spacing w:after="0"/>
              <w:rPr>
                <w:sz w:val="5"/>
                <w:szCs w:val="5"/>
                <w:color w:val="auto"/>
              </w:rPr>
            </w:pPr>
          </w:p>
        </w:tc>
      </w:tr>
      <w:tr>
        <w:trPr>
          <w:trHeight w:val="235"/>
        </w:trPr>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FY25</w:t>
            </w:r>
          </w:p>
        </w:tc>
        <w:tc>
          <w:tcPr>
            <w:tcW w:w="840" w:type="dxa"/>
            <w:vAlign w:val="bottom"/>
          </w:tcPr>
          <w:p>
            <w:pPr>
              <w:jc w:val="right"/>
              <w:ind w:right="2"/>
              <w:spacing w:after="0"/>
              <w:rPr>
                <w:sz w:val="20"/>
                <w:szCs w:val="20"/>
                <w:color w:val="auto"/>
              </w:rPr>
            </w:pPr>
            <w:r>
              <w:rPr>
                <w:rFonts w:ascii="Arial" w:cs="Arial" w:eastAsia="Arial" w:hAnsi="Arial"/>
                <w:sz w:val="13"/>
                <w:szCs w:val="13"/>
                <w:color w:val="auto"/>
              </w:rPr>
              <w:t>$5,180,710</w:t>
            </w:r>
          </w:p>
        </w:tc>
        <w:tc>
          <w:tcPr>
            <w:tcW w:w="780" w:type="dxa"/>
            <w:vAlign w:val="bottom"/>
            <w:gridSpan w:val="2"/>
          </w:tcPr>
          <w:p>
            <w:pPr>
              <w:jc w:val="right"/>
              <w:ind w:right="24"/>
              <w:spacing w:after="0"/>
              <w:rPr>
                <w:sz w:val="20"/>
                <w:szCs w:val="20"/>
                <w:color w:val="auto"/>
              </w:rPr>
            </w:pPr>
            <w:r>
              <w:rPr>
                <w:rFonts w:ascii="Arial" w:cs="Arial" w:eastAsia="Arial" w:hAnsi="Arial"/>
                <w:sz w:val="13"/>
                <w:szCs w:val="13"/>
                <w:color w:val="auto"/>
              </w:rPr>
              <w:t>$3,500,030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ind w:right="23"/>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
              <w:spacing w:after="0"/>
              <w:rPr>
                <w:sz w:val="20"/>
                <w:szCs w:val="20"/>
                <w:color w:val="auto"/>
              </w:rPr>
            </w:pPr>
            <w:r>
              <w:rPr>
                <w:rFonts w:ascii="Arial" w:cs="Arial" w:eastAsia="Arial" w:hAnsi="Arial"/>
                <w:sz w:val="13"/>
                <w:szCs w:val="13"/>
                <w:color w:val="auto"/>
              </w:rPr>
              <w:t>$2,408,948</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22"/>
              <w:spacing w:after="0"/>
              <w:rPr>
                <w:sz w:val="20"/>
                <w:szCs w:val="20"/>
                <w:color w:val="auto"/>
              </w:rPr>
            </w:pPr>
            <w:r>
              <w:rPr>
                <w:rFonts w:ascii="Arial" w:cs="Arial" w:eastAsia="Arial" w:hAnsi="Arial"/>
                <w:sz w:val="13"/>
                <w:szCs w:val="13"/>
                <w:color w:val="auto"/>
              </w:rPr>
              <w:t>$(1,243,451)</w:t>
            </w:r>
          </w:p>
        </w:tc>
        <w:tc>
          <w:tcPr>
            <w:tcW w:w="320" w:type="dxa"/>
            <w:vAlign w:val="bottom"/>
          </w:tcPr>
          <w:p>
            <w:pPr>
              <w:ind w:left="24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2"/>
              <w:spacing w:after="0"/>
              <w:rPr>
                <w:sz w:val="20"/>
                <w:szCs w:val="20"/>
                <w:color w:val="auto"/>
              </w:rPr>
            </w:pPr>
            <w:r>
              <w:rPr>
                <w:rFonts w:ascii="Arial" w:cs="Arial" w:eastAsia="Arial" w:hAnsi="Arial"/>
                <w:sz w:val="13"/>
                <w:szCs w:val="13"/>
                <w:color w:val="auto"/>
                <w:w w:val="96"/>
              </w:rPr>
              <w:t>(291,189)</w:t>
            </w:r>
          </w:p>
        </w:tc>
        <w:tc>
          <w:tcPr>
            <w:tcW w:w="820" w:type="dxa"/>
            <w:vAlign w:val="bottom"/>
            <w:gridSpan w:val="2"/>
          </w:tcPr>
          <w:p>
            <w:pPr>
              <w:jc w:val="right"/>
              <w:ind w:right="23"/>
              <w:spacing w:after="0"/>
              <w:rPr>
                <w:sz w:val="20"/>
                <w:szCs w:val="20"/>
                <w:color w:val="auto"/>
              </w:rPr>
            </w:pPr>
            <w:r>
              <w:rPr>
                <w:rFonts w:ascii="Arial" w:cs="Arial" w:eastAsia="Arial" w:hAnsi="Arial"/>
                <w:sz w:val="13"/>
                <w:szCs w:val="13"/>
                <w:color w:val="auto"/>
              </w:rPr>
              <w:t>$ 11,881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22"/>
              <w:spacing w:after="0"/>
              <w:rPr>
                <w:sz w:val="20"/>
                <w:szCs w:val="20"/>
                <w:color w:val="auto"/>
              </w:rPr>
            </w:pPr>
            <w:r>
              <w:rPr>
                <w:rFonts w:ascii="Arial" w:cs="Arial" w:eastAsia="Arial" w:hAnsi="Arial"/>
                <w:sz w:val="13"/>
                <w:szCs w:val="13"/>
                <w:color w:val="auto"/>
              </w:rPr>
              <w:t>1,836</w:t>
            </w:r>
          </w:p>
        </w:tc>
        <w:tc>
          <w:tcPr>
            <w:tcW w:w="1040" w:type="dxa"/>
            <w:vAlign w:val="bottom"/>
          </w:tcPr>
          <w:p>
            <w:pPr>
              <w:jc w:val="right"/>
              <w:ind w:right="40"/>
              <w:spacing w:after="0"/>
              <w:rPr>
                <w:sz w:val="20"/>
                <w:szCs w:val="20"/>
                <w:color w:val="auto"/>
              </w:rPr>
            </w:pPr>
            <w:r>
              <w:rPr>
                <w:rFonts w:ascii="Arial" w:cs="Arial" w:eastAsia="Arial" w:hAnsi="Arial"/>
                <w:sz w:val="13"/>
                <w:szCs w:val="13"/>
                <w:color w:val="auto"/>
              </w:rPr>
              <w:t>$ 2,568,705</w:t>
            </w:r>
          </w:p>
        </w:tc>
      </w:tr>
      <w:tr>
        <w:trPr>
          <w:trHeight w:val="62"/>
        </w:trPr>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gridSpan w:val="2"/>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880" w:type="dxa"/>
            <w:vAlign w:val="bottom"/>
            <w:gridSpan w:val="2"/>
          </w:tcPr>
          <w:p>
            <w:pPr>
              <w:spacing w:after="0"/>
              <w:rPr>
                <w:sz w:val="5"/>
                <w:szCs w:val="5"/>
                <w:color w:val="auto"/>
              </w:rPr>
            </w:pPr>
          </w:p>
        </w:tc>
        <w:tc>
          <w:tcPr>
            <w:tcW w:w="1040" w:type="dxa"/>
            <w:vAlign w:val="bottom"/>
          </w:tcPr>
          <w:p>
            <w:pPr>
              <w:spacing w:after="0"/>
              <w:rPr>
                <w:sz w:val="5"/>
                <w:szCs w:val="5"/>
                <w:color w:val="auto"/>
              </w:rPr>
            </w:pPr>
          </w:p>
        </w:tc>
      </w:tr>
      <w:tr>
        <w:trPr>
          <w:trHeight w:val="235"/>
        </w:trPr>
        <w:tc>
          <w:tcPr>
            <w:tcW w:w="600" w:type="dxa"/>
            <w:vAlign w:val="bottom"/>
            <w:shd w:val="clear" w:color="auto" w:fill="E6E6E6"/>
          </w:tcPr>
          <w:p>
            <w:pPr>
              <w:ind w:left="140"/>
              <w:spacing w:after="0"/>
              <w:rPr>
                <w:sz w:val="20"/>
                <w:szCs w:val="20"/>
                <w:color w:val="auto"/>
              </w:rPr>
            </w:pPr>
            <w:r>
              <w:rPr>
                <w:rFonts w:ascii="Arial" w:cs="Arial" w:eastAsia="Arial" w:hAnsi="Arial"/>
                <w:sz w:val="13"/>
                <w:szCs w:val="13"/>
                <w:b w:val="1"/>
                <w:bCs w:val="1"/>
                <w:color w:val="auto"/>
              </w:rPr>
              <w:t>FY24</w:t>
            </w:r>
          </w:p>
        </w:tc>
        <w:tc>
          <w:tcPr>
            <w:tcW w:w="840" w:type="dxa"/>
            <w:vAlign w:val="bottom"/>
            <w:shd w:val="clear" w:color="auto" w:fill="E6E6E6"/>
          </w:tcPr>
          <w:p>
            <w:pPr>
              <w:jc w:val="right"/>
              <w:ind w:right="2"/>
              <w:spacing w:after="0"/>
              <w:rPr>
                <w:sz w:val="20"/>
                <w:szCs w:val="20"/>
                <w:color w:val="auto"/>
              </w:rPr>
            </w:pPr>
            <w:r>
              <w:rPr>
                <w:rFonts w:ascii="Arial" w:cs="Arial" w:eastAsia="Arial" w:hAnsi="Arial"/>
                <w:sz w:val="13"/>
                <w:szCs w:val="13"/>
                <w:color w:val="auto"/>
              </w:rPr>
              <w:t>$5,091,430</w:t>
            </w:r>
          </w:p>
        </w:tc>
        <w:tc>
          <w:tcPr>
            <w:tcW w:w="780" w:type="dxa"/>
            <w:vAlign w:val="bottom"/>
            <w:gridSpan w:val="2"/>
            <w:shd w:val="clear" w:color="auto" w:fill="E6E6E6"/>
          </w:tcPr>
          <w:p>
            <w:pPr>
              <w:jc w:val="right"/>
              <w:ind w:right="24"/>
              <w:spacing w:after="0"/>
              <w:rPr>
                <w:sz w:val="20"/>
                <w:szCs w:val="20"/>
                <w:color w:val="auto"/>
              </w:rPr>
            </w:pPr>
            <w:r>
              <w:rPr>
                <w:rFonts w:ascii="Arial" w:cs="Arial" w:eastAsia="Arial" w:hAnsi="Arial"/>
                <w:sz w:val="13"/>
                <w:szCs w:val="13"/>
                <w:color w:val="auto"/>
              </w:rPr>
              <w:t>$3,500,004</w:t>
            </w:r>
          </w:p>
        </w:tc>
        <w:tc>
          <w:tcPr>
            <w:tcW w:w="1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E6E6E6"/>
          </w:tcPr>
          <w:p>
            <w:pPr>
              <w:jc w:val="right"/>
              <w:ind w:right="23"/>
              <w:spacing w:after="0"/>
              <w:rPr>
                <w:sz w:val="20"/>
                <w:szCs w:val="20"/>
                <w:color w:val="auto"/>
              </w:rPr>
            </w:pPr>
            <w:r>
              <w:rPr>
                <w:rFonts w:ascii="Arial" w:cs="Arial" w:eastAsia="Arial" w:hAnsi="Arial"/>
                <w:sz w:val="13"/>
                <w:szCs w:val="13"/>
                <w:color w:val="auto"/>
              </w:rPr>
              <w:t>—</w:t>
            </w:r>
          </w:p>
        </w:tc>
        <w:tc>
          <w:tcPr>
            <w:tcW w:w="760" w:type="dxa"/>
            <w:vAlign w:val="bottom"/>
            <w:shd w:val="clear" w:color="auto" w:fill="E6E6E6"/>
          </w:tcPr>
          <w:p>
            <w:pPr>
              <w:jc w:val="right"/>
              <w:ind w:right="3"/>
              <w:spacing w:after="0"/>
              <w:rPr>
                <w:sz w:val="20"/>
                <w:szCs w:val="20"/>
                <w:color w:val="auto"/>
              </w:rPr>
            </w:pPr>
            <w:r>
              <w:rPr>
                <w:rFonts w:ascii="Arial" w:cs="Arial" w:eastAsia="Arial" w:hAnsi="Arial"/>
                <w:sz w:val="13"/>
                <w:szCs w:val="13"/>
                <w:color w:val="auto"/>
              </w:rPr>
              <w:t>$3,373,999</w:t>
            </w:r>
          </w:p>
        </w:tc>
        <w:tc>
          <w:tcPr>
            <w:tcW w:w="26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22"/>
              <w:spacing w:after="0"/>
              <w:rPr>
                <w:sz w:val="20"/>
                <w:szCs w:val="20"/>
                <w:color w:val="auto"/>
              </w:rPr>
            </w:pPr>
            <w:r>
              <w:rPr>
                <w:rFonts w:ascii="Arial" w:cs="Arial" w:eastAsia="Arial" w:hAnsi="Arial"/>
                <w:sz w:val="13"/>
                <w:szCs w:val="13"/>
                <w:color w:val="auto"/>
              </w:rPr>
              <w:t>(455,830)</w:t>
            </w:r>
          </w:p>
        </w:tc>
        <w:tc>
          <w:tcPr>
            <w:tcW w:w="320" w:type="dxa"/>
            <w:vAlign w:val="bottom"/>
            <w:shd w:val="clear" w:color="auto" w:fill="E6E6E6"/>
          </w:tcPr>
          <w:p>
            <w:pPr>
              <w:ind w:left="240"/>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E6E6E6"/>
          </w:tcPr>
          <w:p>
            <w:pPr>
              <w:jc w:val="right"/>
              <w:ind w:right="2"/>
              <w:spacing w:after="0"/>
              <w:rPr>
                <w:sz w:val="20"/>
                <w:szCs w:val="20"/>
                <w:color w:val="auto"/>
              </w:rPr>
            </w:pPr>
            <w:r>
              <w:rPr>
                <w:rFonts w:ascii="Arial" w:cs="Arial" w:eastAsia="Arial" w:hAnsi="Arial"/>
                <w:sz w:val="13"/>
                <w:szCs w:val="13"/>
                <w:color w:val="auto"/>
                <w:w w:val="96"/>
              </w:rPr>
              <w:t>(680,644)</w:t>
            </w:r>
          </w:p>
        </w:tc>
        <w:tc>
          <w:tcPr>
            <w:tcW w:w="360" w:type="dxa"/>
            <w:vAlign w:val="bottom"/>
            <w:shd w:val="clear" w:color="auto" w:fill="E6E6E6"/>
          </w:tcPr>
          <w:p>
            <w:pPr>
              <w:jc w:val="right"/>
              <w:ind w:right="3"/>
              <w:spacing w:after="0"/>
              <w:rPr>
                <w:sz w:val="20"/>
                <w:szCs w:val="20"/>
                <w:color w:val="auto"/>
              </w:rPr>
            </w:pPr>
            <w:r>
              <w:rPr>
                <w:rFonts w:ascii="Arial" w:cs="Arial" w:eastAsia="Arial" w:hAnsi="Arial"/>
                <w:sz w:val="13"/>
                <w:szCs w:val="13"/>
                <w:color w:val="auto"/>
              </w:rPr>
              <w:t>$</w:t>
            </w:r>
          </w:p>
        </w:tc>
        <w:tc>
          <w:tcPr>
            <w:tcW w:w="460" w:type="dxa"/>
            <w:vAlign w:val="bottom"/>
            <w:shd w:val="clear" w:color="auto" w:fill="E6E6E6"/>
          </w:tcPr>
          <w:p>
            <w:pPr>
              <w:jc w:val="right"/>
              <w:ind w:right="23"/>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E6E6E6"/>
          </w:tcPr>
          <w:p>
            <w:pPr>
              <w:jc w:val="right"/>
              <w:ind w:right="22"/>
              <w:spacing w:after="0"/>
              <w:rPr>
                <w:sz w:val="20"/>
                <w:szCs w:val="20"/>
                <w:color w:val="auto"/>
              </w:rPr>
            </w:pPr>
            <w:r>
              <w:rPr>
                <w:rFonts w:ascii="Arial" w:cs="Arial" w:eastAsia="Arial" w:hAnsi="Arial"/>
                <w:sz w:val="13"/>
                <w:szCs w:val="13"/>
                <w:color w:val="auto"/>
              </w:rPr>
              <w:t>$(1,256,000)</w:t>
            </w:r>
          </w:p>
        </w:tc>
        <w:tc>
          <w:tcPr>
            <w:tcW w:w="1040" w:type="dxa"/>
            <w:vAlign w:val="bottom"/>
            <w:shd w:val="clear" w:color="auto" w:fill="E6E6E6"/>
          </w:tcPr>
          <w:p>
            <w:pPr>
              <w:jc w:val="right"/>
              <w:ind w:right="40"/>
              <w:spacing w:after="0"/>
              <w:rPr>
                <w:sz w:val="20"/>
                <w:szCs w:val="20"/>
                <w:color w:val="auto"/>
              </w:rPr>
            </w:pPr>
            <w:r>
              <w:rPr>
                <w:rFonts w:ascii="Arial" w:cs="Arial" w:eastAsia="Arial" w:hAnsi="Arial"/>
                <w:sz w:val="13"/>
                <w:szCs w:val="13"/>
                <w:color w:val="auto"/>
              </w:rPr>
              <w:t>$ 2,572,951</w:t>
            </w:r>
          </w:p>
        </w:tc>
      </w:tr>
      <w:tr>
        <w:trPr>
          <w:trHeight w:val="62"/>
        </w:trPr>
        <w:tc>
          <w:tcPr>
            <w:tcW w:w="600" w:type="dxa"/>
            <w:vAlign w:val="bottom"/>
            <w:shd w:val="clear" w:color="auto" w:fill="E6E6E6"/>
          </w:tcPr>
          <w:p>
            <w:pPr>
              <w:spacing w:after="0"/>
              <w:rPr>
                <w:sz w:val="5"/>
                <w:szCs w:val="5"/>
                <w:color w:val="auto"/>
              </w:rPr>
            </w:pPr>
          </w:p>
        </w:tc>
        <w:tc>
          <w:tcPr>
            <w:tcW w:w="840" w:type="dxa"/>
            <w:vAlign w:val="bottom"/>
            <w:shd w:val="clear" w:color="auto" w:fill="E6E6E6"/>
          </w:tcPr>
          <w:p>
            <w:pPr>
              <w:spacing w:after="0"/>
              <w:rPr>
                <w:sz w:val="5"/>
                <w:szCs w:val="5"/>
                <w:color w:val="auto"/>
              </w:rPr>
            </w:pPr>
          </w:p>
        </w:tc>
        <w:tc>
          <w:tcPr>
            <w:tcW w:w="200" w:type="dxa"/>
            <w:vAlign w:val="bottom"/>
            <w:shd w:val="clear" w:color="auto" w:fill="E6E6E6"/>
          </w:tcPr>
          <w:p>
            <w:pPr>
              <w:spacing w:after="0"/>
              <w:rPr>
                <w:sz w:val="5"/>
                <w:szCs w:val="5"/>
                <w:color w:val="auto"/>
              </w:rPr>
            </w:pPr>
          </w:p>
        </w:tc>
        <w:tc>
          <w:tcPr>
            <w:tcW w:w="580" w:type="dxa"/>
            <w:vAlign w:val="bottom"/>
            <w:shd w:val="clear" w:color="auto" w:fill="E6E6E6"/>
          </w:tcPr>
          <w:p>
            <w:pPr>
              <w:spacing w:after="0"/>
              <w:rPr>
                <w:sz w:val="5"/>
                <w:szCs w:val="5"/>
                <w:color w:val="auto"/>
              </w:rPr>
            </w:pPr>
          </w:p>
        </w:tc>
        <w:tc>
          <w:tcPr>
            <w:tcW w:w="660" w:type="dxa"/>
            <w:vAlign w:val="bottom"/>
            <w:gridSpan w:val="2"/>
            <w:shd w:val="clear" w:color="auto" w:fill="E6E6E6"/>
          </w:tcPr>
          <w:p>
            <w:pPr>
              <w:spacing w:after="0"/>
              <w:rPr>
                <w:sz w:val="5"/>
                <w:szCs w:val="5"/>
                <w:color w:val="auto"/>
              </w:rPr>
            </w:pPr>
          </w:p>
        </w:tc>
        <w:tc>
          <w:tcPr>
            <w:tcW w:w="760" w:type="dxa"/>
            <w:vAlign w:val="bottom"/>
            <w:shd w:val="clear" w:color="auto" w:fill="E6E6E6"/>
          </w:tcPr>
          <w:p>
            <w:pPr>
              <w:spacing w:after="0"/>
              <w:rPr>
                <w:sz w:val="5"/>
                <w:szCs w:val="5"/>
                <w:color w:val="auto"/>
              </w:rPr>
            </w:pPr>
          </w:p>
        </w:tc>
        <w:tc>
          <w:tcPr>
            <w:tcW w:w="260" w:type="dxa"/>
            <w:vAlign w:val="bottom"/>
            <w:shd w:val="clear" w:color="auto" w:fill="E6E6E6"/>
          </w:tcPr>
          <w:p>
            <w:pPr>
              <w:spacing w:after="0"/>
              <w:rPr>
                <w:sz w:val="5"/>
                <w:szCs w:val="5"/>
                <w:color w:val="auto"/>
              </w:rPr>
            </w:pPr>
          </w:p>
        </w:tc>
        <w:tc>
          <w:tcPr>
            <w:tcW w:w="580" w:type="dxa"/>
            <w:vAlign w:val="bottom"/>
            <w:shd w:val="clear" w:color="auto" w:fill="E6E6E6"/>
          </w:tcPr>
          <w:p>
            <w:pPr>
              <w:spacing w:after="0"/>
              <w:rPr>
                <w:sz w:val="5"/>
                <w:szCs w:val="5"/>
                <w:color w:val="auto"/>
              </w:rPr>
            </w:pPr>
          </w:p>
        </w:tc>
        <w:tc>
          <w:tcPr>
            <w:tcW w:w="240" w:type="dxa"/>
            <w:vAlign w:val="bottom"/>
            <w:shd w:val="clear" w:color="auto" w:fill="E6E6E6"/>
          </w:tcPr>
          <w:p>
            <w:pPr>
              <w:spacing w:after="0"/>
              <w:rPr>
                <w:sz w:val="5"/>
                <w:szCs w:val="5"/>
                <w:color w:val="auto"/>
              </w:rPr>
            </w:pPr>
          </w:p>
        </w:tc>
        <w:tc>
          <w:tcPr>
            <w:tcW w:w="680" w:type="dxa"/>
            <w:vAlign w:val="bottom"/>
            <w:shd w:val="clear" w:color="auto" w:fill="E6E6E6"/>
          </w:tcPr>
          <w:p>
            <w:pPr>
              <w:spacing w:after="0"/>
              <w:rPr>
                <w:sz w:val="5"/>
                <w:szCs w:val="5"/>
                <w:color w:val="auto"/>
              </w:rPr>
            </w:pPr>
          </w:p>
        </w:tc>
        <w:tc>
          <w:tcPr>
            <w:tcW w:w="320" w:type="dxa"/>
            <w:vAlign w:val="bottom"/>
            <w:shd w:val="clear" w:color="auto" w:fill="E6E6E6"/>
          </w:tcPr>
          <w:p>
            <w:pPr>
              <w:spacing w:after="0"/>
              <w:rPr>
                <w:sz w:val="5"/>
                <w:szCs w:val="5"/>
                <w:color w:val="auto"/>
              </w:rPr>
            </w:pPr>
          </w:p>
        </w:tc>
        <w:tc>
          <w:tcPr>
            <w:tcW w:w="620" w:type="dxa"/>
            <w:vAlign w:val="bottom"/>
            <w:shd w:val="clear" w:color="auto" w:fill="E6E6E6"/>
          </w:tcPr>
          <w:p>
            <w:pPr>
              <w:spacing w:after="0"/>
              <w:rPr>
                <w:sz w:val="5"/>
                <w:szCs w:val="5"/>
                <w:color w:val="auto"/>
              </w:rPr>
            </w:pPr>
          </w:p>
        </w:tc>
        <w:tc>
          <w:tcPr>
            <w:tcW w:w="820" w:type="dxa"/>
            <w:vAlign w:val="bottom"/>
            <w:gridSpan w:val="2"/>
            <w:shd w:val="clear" w:color="auto" w:fill="E6E6E6"/>
          </w:tcPr>
          <w:p>
            <w:pPr>
              <w:spacing w:after="0"/>
              <w:rPr>
                <w:sz w:val="5"/>
                <w:szCs w:val="5"/>
                <w:color w:val="auto"/>
              </w:rPr>
            </w:pPr>
          </w:p>
        </w:tc>
        <w:tc>
          <w:tcPr>
            <w:tcW w:w="180" w:type="dxa"/>
            <w:vAlign w:val="bottom"/>
            <w:shd w:val="clear" w:color="auto" w:fill="E6E6E6"/>
          </w:tcPr>
          <w:p>
            <w:pPr>
              <w:spacing w:after="0"/>
              <w:rPr>
                <w:sz w:val="5"/>
                <w:szCs w:val="5"/>
                <w:color w:val="auto"/>
              </w:rPr>
            </w:pPr>
          </w:p>
        </w:tc>
        <w:tc>
          <w:tcPr>
            <w:tcW w:w="700" w:type="dxa"/>
            <w:vAlign w:val="bottom"/>
            <w:shd w:val="clear" w:color="auto" w:fill="E6E6E6"/>
          </w:tcPr>
          <w:p>
            <w:pPr>
              <w:spacing w:after="0"/>
              <w:rPr>
                <w:sz w:val="5"/>
                <w:szCs w:val="5"/>
                <w:color w:val="auto"/>
              </w:rPr>
            </w:pPr>
          </w:p>
        </w:tc>
        <w:tc>
          <w:tcPr>
            <w:tcW w:w="1040" w:type="dxa"/>
            <w:vAlign w:val="bottom"/>
            <w:shd w:val="clear" w:color="auto" w:fill="E6E6E6"/>
          </w:tcPr>
          <w:p>
            <w:pPr>
              <w:spacing w:after="0"/>
              <w:rPr>
                <w:sz w:val="5"/>
                <w:szCs w:val="5"/>
                <w:color w:val="auto"/>
              </w:rPr>
            </w:pPr>
          </w:p>
        </w:tc>
      </w:tr>
      <w:tr>
        <w:trPr>
          <w:trHeight w:val="235"/>
        </w:trPr>
        <w:tc>
          <w:tcPr>
            <w:tcW w:w="600" w:type="dxa"/>
            <w:vAlign w:val="bottom"/>
          </w:tcPr>
          <w:p>
            <w:pPr>
              <w:ind w:left="140"/>
              <w:spacing w:after="0"/>
              <w:rPr>
                <w:sz w:val="20"/>
                <w:szCs w:val="20"/>
                <w:color w:val="auto"/>
              </w:rPr>
            </w:pPr>
            <w:r>
              <w:rPr>
                <w:rFonts w:ascii="Arial" w:cs="Arial" w:eastAsia="Arial" w:hAnsi="Arial"/>
                <w:sz w:val="13"/>
                <w:szCs w:val="13"/>
                <w:b w:val="1"/>
                <w:bCs w:val="1"/>
                <w:color w:val="auto"/>
              </w:rPr>
              <w:t>FY23</w:t>
            </w:r>
          </w:p>
        </w:tc>
        <w:tc>
          <w:tcPr>
            <w:tcW w:w="840" w:type="dxa"/>
            <w:vAlign w:val="bottom"/>
          </w:tcPr>
          <w:p>
            <w:pPr>
              <w:jc w:val="right"/>
              <w:ind w:right="2"/>
              <w:spacing w:after="0"/>
              <w:rPr>
                <w:sz w:val="20"/>
                <w:szCs w:val="20"/>
                <w:color w:val="auto"/>
              </w:rPr>
            </w:pPr>
            <w:r>
              <w:rPr>
                <w:rFonts w:ascii="Arial" w:cs="Arial" w:eastAsia="Arial" w:hAnsi="Arial"/>
                <w:sz w:val="13"/>
                <w:szCs w:val="13"/>
                <w:color w:val="auto"/>
              </w:rPr>
              <w:t>$5,062,875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24"/>
              <w:spacing w:after="0"/>
              <w:rPr>
                <w:sz w:val="20"/>
                <w:szCs w:val="20"/>
                <w:color w:val="auto"/>
              </w:rPr>
            </w:pPr>
            <w:r>
              <w:rPr>
                <w:rFonts w:ascii="Arial" w:cs="Arial" w:eastAsia="Arial" w:hAnsi="Arial"/>
                <w:sz w:val="13"/>
                <w:szCs w:val="13"/>
                <w:color w:val="auto"/>
              </w:rPr>
              <w:t>937,496</w:t>
            </w:r>
          </w:p>
        </w:tc>
        <w:tc>
          <w:tcPr>
            <w:tcW w:w="660" w:type="dxa"/>
            <w:vAlign w:val="bottom"/>
            <w:gridSpan w:val="2"/>
          </w:tcPr>
          <w:p>
            <w:pPr>
              <w:jc w:val="right"/>
              <w:ind w:right="23"/>
              <w:spacing w:after="0"/>
              <w:rPr>
                <w:sz w:val="20"/>
                <w:szCs w:val="20"/>
                <w:color w:val="auto"/>
              </w:rPr>
            </w:pPr>
            <w:r>
              <w:rPr>
                <w:rFonts w:ascii="Arial" w:cs="Arial" w:eastAsia="Arial" w:hAnsi="Arial"/>
                <w:sz w:val="13"/>
                <w:szCs w:val="13"/>
                <w:color w:val="auto"/>
              </w:rPr>
              <w:t>$937,503</w:t>
            </w:r>
          </w:p>
        </w:tc>
        <w:tc>
          <w:tcPr>
            <w:tcW w:w="760" w:type="dxa"/>
            <w:vAlign w:val="bottom"/>
          </w:tcPr>
          <w:p>
            <w:pPr>
              <w:jc w:val="right"/>
              <w:ind w:right="3"/>
              <w:spacing w:after="0"/>
              <w:rPr>
                <w:sz w:val="20"/>
                <w:szCs w:val="20"/>
                <w:color w:val="auto"/>
              </w:rPr>
            </w:pPr>
            <w:r>
              <w:rPr>
                <w:rFonts w:ascii="Arial" w:cs="Arial" w:eastAsia="Arial" w:hAnsi="Arial"/>
                <w:sz w:val="13"/>
                <w:szCs w:val="13"/>
                <w:color w:val="auto"/>
              </w:rPr>
              <w:t>$  871,447</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706,450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2"/>
              <w:spacing w:after="0"/>
              <w:rPr>
                <w:sz w:val="20"/>
                <w:szCs w:val="20"/>
                <w:color w:val="auto"/>
              </w:rPr>
            </w:pPr>
            <w:r>
              <w:rPr>
                <w:rFonts w:ascii="Arial" w:cs="Arial" w:eastAsia="Arial" w:hAnsi="Arial"/>
                <w:sz w:val="13"/>
                <w:szCs w:val="13"/>
                <w:color w:val="auto"/>
              </w:rPr>
              <w:t>(58,046)</w:t>
            </w:r>
          </w:p>
        </w:tc>
        <w:tc>
          <w:tcPr>
            <w:tcW w:w="320" w:type="dxa"/>
            <w:vAlign w:val="bottom"/>
          </w:tcPr>
          <w:p>
            <w:pPr>
              <w:ind w:left="240"/>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ind w:right="2"/>
              <w:spacing w:after="0"/>
              <w:rPr>
                <w:sz w:val="20"/>
                <w:szCs w:val="20"/>
                <w:color w:val="auto"/>
              </w:rPr>
            </w:pPr>
            <w:r>
              <w:rPr>
                <w:rFonts w:ascii="Arial" w:cs="Arial" w:eastAsia="Arial" w:hAnsi="Arial"/>
                <w:sz w:val="13"/>
                <w:szCs w:val="13"/>
                <w:color w:val="auto"/>
                <w:w w:val="96"/>
              </w:rPr>
              <w:t>(526,258)</w:t>
            </w:r>
          </w:p>
        </w:tc>
        <w:tc>
          <w:tcPr>
            <w:tcW w:w="820" w:type="dxa"/>
            <w:vAlign w:val="bottom"/>
            <w:gridSpan w:val="2"/>
          </w:tcPr>
          <w:p>
            <w:pPr>
              <w:jc w:val="right"/>
              <w:ind w:right="23"/>
              <w:spacing w:after="0"/>
              <w:rPr>
                <w:sz w:val="20"/>
                <w:szCs w:val="20"/>
                <w:color w:val="auto"/>
              </w:rPr>
            </w:pPr>
            <w:r>
              <w:rPr>
                <w:rFonts w:ascii="Arial" w:cs="Arial" w:eastAsia="Arial" w:hAnsi="Arial"/>
                <w:sz w:val="13"/>
                <w:szCs w:val="13"/>
                <w:color w:val="auto"/>
              </w:rPr>
              <w:t>$ 78,653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22"/>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40"/>
              <w:spacing w:after="0"/>
              <w:rPr>
                <w:sz w:val="20"/>
                <w:szCs w:val="20"/>
                <w:color w:val="auto"/>
              </w:rPr>
            </w:pPr>
            <w:r>
              <w:rPr>
                <w:rFonts w:ascii="Arial" w:cs="Arial" w:eastAsia="Arial" w:hAnsi="Arial"/>
                <w:sz w:val="13"/>
                <w:szCs w:val="13"/>
                <w:color w:val="auto"/>
              </w:rPr>
              <w:t>$ 4,260,124</w:t>
            </w:r>
          </w:p>
        </w:tc>
      </w:tr>
      <w:tr>
        <w:trPr>
          <w:trHeight w:val="62"/>
        </w:trPr>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60" w:type="dxa"/>
            <w:vAlign w:val="bottom"/>
            <w:gridSpan w:val="2"/>
          </w:tcPr>
          <w:p>
            <w:pPr>
              <w:spacing w:after="0"/>
              <w:rPr>
                <w:sz w:val="5"/>
                <w:szCs w:val="5"/>
                <w:color w:val="auto"/>
              </w:rPr>
            </w:pPr>
          </w:p>
        </w:tc>
        <w:tc>
          <w:tcPr>
            <w:tcW w:w="760" w:type="dxa"/>
            <w:vAlign w:val="bottom"/>
          </w:tcPr>
          <w:p>
            <w:pPr>
              <w:spacing w:after="0"/>
              <w:rPr>
                <w:sz w:val="5"/>
                <w:szCs w:val="5"/>
                <w:color w:val="auto"/>
              </w:rPr>
            </w:pPr>
          </w:p>
        </w:tc>
        <w:tc>
          <w:tcPr>
            <w:tcW w:w="840" w:type="dxa"/>
            <w:vAlign w:val="bottom"/>
            <w:gridSpan w:val="2"/>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940" w:type="dxa"/>
            <w:vAlign w:val="bottom"/>
            <w:gridSpan w:val="2"/>
          </w:tcPr>
          <w:p>
            <w:pPr>
              <w:spacing w:after="0"/>
              <w:rPr>
                <w:sz w:val="5"/>
                <w:szCs w:val="5"/>
                <w:color w:val="auto"/>
              </w:rPr>
            </w:pPr>
          </w:p>
        </w:tc>
        <w:tc>
          <w:tcPr>
            <w:tcW w:w="820" w:type="dxa"/>
            <w:vAlign w:val="bottom"/>
            <w:gridSpan w:val="2"/>
          </w:tcPr>
          <w:p>
            <w:pPr>
              <w:spacing w:after="0"/>
              <w:rPr>
                <w:sz w:val="5"/>
                <w:szCs w:val="5"/>
                <w:color w:val="auto"/>
              </w:rPr>
            </w:pPr>
          </w:p>
        </w:tc>
        <w:tc>
          <w:tcPr>
            <w:tcW w:w="1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r>
      <w:tr>
        <w:trPr>
          <w:trHeight w:val="216"/>
        </w:trPr>
        <w:tc>
          <w:tcPr>
            <w:tcW w:w="600" w:type="dxa"/>
            <w:vAlign w:val="bottom"/>
            <w:shd w:val="clear" w:color="auto" w:fill="E6E6E6"/>
          </w:tcPr>
          <w:p>
            <w:pPr>
              <w:ind w:left="140"/>
              <w:spacing w:after="0"/>
              <w:rPr>
                <w:sz w:val="20"/>
                <w:szCs w:val="20"/>
                <w:color w:val="auto"/>
              </w:rPr>
            </w:pPr>
            <w:r>
              <w:rPr>
                <w:rFonts w:ascii="Arial" w:cs="Arial" w:eastAsia="Arial" w:hAnsi="Arial"/>
                <w:sz w:val="13"/>
                <w:szCs w:val="13"/>
                <w:b w:val="1"/>
                <w:bCs w:val="1"/>
                <w:color w:val="auto"/>
              </w:rPr>
              <w:t>FY22</w:t>
            </w:r>
          </w:p>
        </w:tc>
        <w:tc>
          <w:tcPr>
            <w:tcW w:w="840" w:type="dxa"/>
            <w:vAlign w:val="bottom"/>
            <w:shd w:val="clear" w:color="auto" w:fill="E6E6E6"/>
          </w:tcPr>
          <w:p>
            <w:pPr>
              <w:jc w:val="right"/>
              <w:ind w:right="2"/>
              <w:spacing w:after="0"/>
              <w:rPr>
                <w:sz w:val="20"/>
                <w:szCs w:val="20"/>
                <w:color w:val="auto"/>
              </w:rPr>
            </w:pPr>
            <w:r>
              <w:rPr>
                <w:rFonts w:ascii="Arial" w:cs="Arial" w:eastAsia="Arial" w:hAnsi="Arial"/>
                <w:sz w:val="13"/>
                <w:szCs w:val="13"/>
                <w:color w:val="auto"/>
              </w:rPr>
              <w:t>$7,212,004</w:t>
            </w:r>
          </w:p>
        </w:tc>
        <w:tc>
          <w:tcPr>
            <w:tcW w:w="20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E6E6E6"/>
          </w:tcPr>
          <w:p>
            <w:pPr>
              <w:jc w:val="right"/>
              <w:ind w:right="24"/>
              <w:spacing w:after="0"/>
              <w:rPr>
                <w:sz w:val="20"/>
                <w:szCs w:val="20"/>
                <w:color w:val="auto"/>
              </w:rPr>
            </w:pPr>
            <w:r>
              <w:rPr>
                <w:rFonts w:ascii="Arial" w:cs="Arial" w:eastAsia="Arial" w:hAnsi="Arial"/>
                <w:sz w:val="13"/>
                <w:szCs w:val="13"/>
                <w:color w:val="auto"/>
              </w:rPr>
              <w:t>937,561</w:t>
            </w:r>
          </w:p>
        </w:tc>
        <w:tc>
          <w:tcPr>
            <w:tcW w:w="660" w:type="dxa"/>
            <w:vAlign w:val="bottom"/>
            <w:gridSpan w:val="2"/>
            <w:shd w:val="clear" w:color="auto" w:fill="E6E6E6"/>
          </w:tcPr>
          <w:p>
            <w:pPr>
              <w:jc w:val="right"/>
              <w:ind w:right="23"/>
              <w:spacing w:after="0"/>
              <w:rPr>
                <w:sz w:val="20"/>
                <w:szCs w:val="20"/>
                <w:color w:val="auto"/>
              </w:rPr>
            </w:pPr>
            <w:r>
              <w:rPr>
                <w:rFonts w:ascii="Arial" w:cs="Arial" w:eastAsia="Arial" w:hAnsi="Arial"/>
                <w:sz w:val="13"/>
                <w:szCs w:val="13"/>
                <w:color w:val="auto"/>
              </w:rPr>
              <w:t>$939,319</w:t>
            </w:r>
          </w:p>
        </w:tc>
        <w:tc>
          <w:tcPr>
            <w:tcW w:w="760" w:type="dxa"/>
            <w:vAlign w:val="bottom"/>
            <w:shd w:val="clear" w:color="auto" w:fill="E6E6E6"/>
          </w:tcPr>
          <w:p>
            <w:pPr>
              <w:jc w:val="right"/>
              <w:ind w:right="3"/>
              <w:spacing w:after="0"/>
              <w:rPr>
                <w:sz w:val="20"/>
                <w:szCs w:val="20"/>
                <w:color w:val="auto"/>
              </w:rPr>
            </w:pPr>
            <w:r>
              <w:rPr>
                <w:rFonts w:ascii="Arial" w:cs="Arial" w:eastAsia="Arial" w:hAnsi="Arial"/>
                <w:sz w:val="13"/>
                <w:szCs w:val="13"/>
                <w:color w:val="auto"/>
              </w:rPr>
              <w:t>$1,258,341</w:t>
            </w:r>
          </w:p>
        </w:tc>
        <w:tc>
          <w:tcPr>
            <w:tcW w:w="840" w:type="dxa"/>
            <w:vAlign w:val="bottom"/>
            <w:gridSpan w:val="2"/>
            <w:shd w:val="clear" w:color="auto" w:fill="E6E6E6"/>
          </w:tcPr>
          <w:p>
            <w:pPr>
              <w:jc w:val="right"/>
              <w:spacing w:after="0"/>
              <w:rPr>
                <w:sz w:val="20"/>
                <w:szCs w:val="20"/>
                <w:color w:val="auto"/>
              </w:rPr>
            </w:pPr>
            <w:r>
              <w:rPr>
                <w:rFonts w:ascii="Arial" w:cs="Arial" w:eastAsia="Arial" w:hAnsi="Arial"/>
                <w:sz w:val="13"/>
                <w:szCs w:val="13"/>
                <w:color w:val="auto"/>
              </w:rPr>
              <w:t>$1,382,809</w:t>
            </w:r>
          </w:p>
        </w:tc>
        <w:tc>
          <w:tcPr>
            <w:tcW w:w="24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E6E6E6"/>
          </w:tcPr>
          <w:p>
            <w:pPr>
              <w:jc w:val="right"/>
              <w:ind w:right="22"/>
              <w:spacing w:after="0"/>
              <w:rPr>
                <w:sz w:val="20"/>
                <w:szCs w:val="20"/>
                <w:color w:val="auto"/>
              </w:rPr>
            </w:pPr>
            <w:r>
              <w:rPr>
                <w:rFonts w:ascii="Arial" w:cs="Arial" w:eastAsia="Arial" w:hAnsi="Arial"/>
                <w:sz w:val="13"/>
                <w:szCs w:val="13"/>
                <w:color w:val="auto"/>
              </w:rPr>
              <w:t>520,443</w:t>
            </w:r>
          </w:p>
        </w:tc>
        <w:tc>
          <w:tcPr>
            <w:tcW w:w="940" w:type="dxa"/>
            <w:vAlign w:val="bottom"/>
            <w:gridSpan w:val="2"/>
            <w:shd w:val="clear" w:color="auto" w:fill="E6E6E6"/>
          </w:tcPr>
          <w:p>
            <w:pPr>
              <w:jc w:val="right"/>
              <w:ind w:right="2"/>
              <w:spacing w:after="0"/>
              <w:rPr>
                <w:sz w:val="20"/>
                <w:szCs w:val="20"/>
                <w:color w:val="auto"/>
              </w:rPr>
            </w:pPr>
            <w:r>
              <w:rPr>
                <w:rFonts w:ascii="Arial" w:cs="Arial" w:eastAsia="Arial" w:hAnsi="Arial"/>
                <w:sz w:val="13"/>
                <w:szCs w:val="13"/>
                <w:color w:val="auto"/>
              </w:rPr>
              <w:t>$2,478,000</w:t>
            </w:r>
          </w:p>
        </w:tc>
        <w:tc>
          <w:tcPr>
            <w:tcW w:w="820" w:type="dxa"/>
            <w:vAlign w:val="bottom"/>
            <w:gridSpan w:val="2"/>
            <w:shd w:val="clear" w:color="auto" w:fill="E6E6E6"/>
          </w:tcPr>
          <w:p>
            <w:pPr>
              <w:jc w:val="right"/>
              <w:ind w:right="23"/>
              <w:spacing w:after="0"/>
              <w:rPr>
                <w:sz w:val="20"/>
                <w:szCs w:val="20"/>
                <w:color w:val="auto"/>
              </w:rPr>
            </w:pPr>
            <w:r>
              <w:rPr>
                <w:rFonts w:ascii="Arial" w:cs="Arial" w:eastAsia="Arial" w:hAnsi="Arial"/>
                <w:sz w:val="13"/>
                <w:szCs w:val="13"/>
                <w:color w:val="auto"/>
              </w:rPr>
              <w:t>$652,059</w:t>
            </w:r>
          </w:p>
        </w:tc>
        <w:tc>
          <w:tcPr>
            <w:tcW w:w="180" w:type="dxa"/>
            <w:vAlign w:val="bottom"/>
            <w:shd w:val="clear" w:color="auto" w:fill="E6E6E6"/>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E6E6E6"/>
          </w:tcPr>
          <w:p>
            <w:pPr>
              <w:jc w:val="right"/>
              <w:ind w:right="22"/>
              <w:spacing w:after="0"/>
              <w:rPr>
                <w:sz w:val="20"/>
                <w:szCs w:val="20"/>
                <w:color w:val="auto"/>
              </w:rPr>
            </w:pPr>
            <w:r>
              <w:rPr>
                <w:rFonts w:ascii="Arial" w:cs="Arial" w:eastAsia="Arial" w:hAnsi="Arial"/>
                <w:sz w:val="13"/>
                <w:szCs w:val="13"/>
                <w:color w:val="auto"/>
              </w:rPr>
              <w:t>—</w:t>
            </w:r>
          </w:p>
        </w:tc>
        <w:tc>
          <w:tcPr>
            <w:tcW w:w="1040" w:type="dxa"/>
            <w:vAlign w:val="bottom"/>
            <w:shd w:val="clear" w:color="auto" w:fill="E6E6E6"/>
          </w:tcPr>
          <w:p>
            <w:pPr>
              <w:jc w:val="right"/>
              <w:ind w:right="40"/>
              <w:spacing w:after="0"/>
              <w:rPr>
                <w:sz w:val="20"/>
                <w:szCs w:val="20"/>
                <w:color w:val="auto"/>
              </w:rPr>
            </w:pPr>
            <w:r>
              <w:rPr>
                <w:rFonts w:ascii="Arial" w:cs="Arial" w:eastAsia="Arial" w:hAnsi="Arial"/>
                <w:sz w:val="13"/>
                <w:szCs w:val="13"/>
                <w:color w:val="auto"/>
              </w:rPr>
              <w:t>$11,626,776</w:t>
            </w:r>
          </w:p>
        </w:tc>
      </w:tr>
      <w:tr>
        <w:trPr>
          <w:trHeight w:val="68"/>
        </w:trPr>
        <w:tc>
          <w:tcPr>
            <w:tcW w:w="600" w:type="dxa"/>
            <w:vAlign w:val="bottom"/>
            <w:tcBorders>
              <w:bottom w:val="single" w:sz="8" w:color="D9BA05"/>
            </w:tcBorders>
            <w:shd w:val="clear" w:color="auto" w:fill="E6E6E6"/>
          </w:tcPr>
          <w:p>
            <w:pPr>
              <w:spacing w:after="0"/>
              <w:rPr>
                <w:sz w:val="5"/>
                <w:szCs w:val="5"/>
                <w:color w:val="auto"/>
              </w:rPr>
            </w:pPr>
          </w:p>
        </w:tc>
        <w:tc>
          <w:tcPr>
            <w:tcW w:w="840" w:type="dxa"/>
            <w:vAlign w:val="bottom"/>
            <w:tcBorders>
              <w:bottom w:val="single" w:sz="8" w:color="D9BA05"/>
            </w:tcBorders>
            <w:shd w:val="clear" w:color="auto" w:fill="E6E6E6"/>
          </w:tcPr>
          <w:p>
            <w:pPr>
              <w:spacing w:after="0"/>
              <w:rPr>
                <w:sz w:val="5"/>
                <w:szCs w:val="5"/>
                <w:color w:val="auto"/>
              </w:rPr>
            </w:pPr>
          </w:p>
        </w:tc>
        <w:tc>
          <w:tcPr>
            <w:tcW w:w="200" w:type="dxa"/>
            <w:vAlign w:val="bottom"/>
            <w:tcBorders>
              <w:bottom w:val="single" w:sz="8" w:color="D9BA05"/>
            </w:tcBorders>
            <w:shd w:val="clear" w:color="auto" w:fill="E6E6E6"/>
          </w:tcPr>
          <w:p>
            <w:pPr>
              <w:spacing w:after="0"/>
              <w:rPr>
                <w:sz w:val="5"/>
                <w:szCs w:val="5"/>
                <w:color w:val="auto"/>
              </w:rPr>
            </w:pPr>
          </w:p>
        </w:tc>
        <w:tc>
          <w:tcPr>
            <w:tcW w:w="580" w:type="dxa"/>
            <w:vAlign w:val="bottom"/>
            <w:tcBorders>
              <w:bottom w:val="single" w:sz="8" w:color="D9BA05"/>
            </w:tcBorders>
            <w:shd w:val="clear" w:color="auto" w:fill="E6E6E6"/>
          </w:tcPr>
          <w:p>
            <w:pPr>
              <w:spacing w:after="0"/>
              <w:rPr>
                <w:sz w:val="5"/>
                <w:szCs w:val="5"/>
                <w:color w:val="auto"/>
              </w:rPr>
            </w:pPr>
          </w:p>
        </w:tc>
        <w:tc>
          <w:tcPr>
            <w:tcW w:w="140" w:type="dxa"/>
            <w:vAlign w:val="bottom"/>
            <w:tcBorders>
              <w:bottom w:val="single" w:sz="8" w:color="D9BA05"/>
            </w:tcBorders>
            <w:shd w:val="clear" w:color="auto" w:fill="E6E6E6"/>
          </w:tcPr>
          <w:p>
            <w:pPr>
              <w:spacing w:after="0"/>
              <w:rPr>
                <w:sz w:val="5"/>
                <w:szCs w:val="5"/>
                <w:color w:val="auto"/>
              </w:rPr>
            </w:pPr>
          </w:p>
        </w:tc>
        <w:tc>
          <w:tcPr>
            <w:tcW w:w="520" w:type="dxa"/>
            <w:vAlign w:val="bottom"/>
            <w:tcBorders>
              <w:bottom w:val="single" w:sz="8" w:color="D9BA05"/>
            </w:tcBorders>
            <w:shd w:val="clear" w:color="auto" w:fill="E6E6E6"/>
          </w:tcPr>
          <w:p>
            <w:pPr>
              <w:spacing w:after="0"/>
              <w:rPr>
                <w:sz w:val="5"/>
                <w:szCs w:val="5"/>
                <w:color w:val="auto"/>
              </w:rPr>
            </w:pPr>
          </w:p>
        </w:tc>
        <w:tc>
          <w:tcPr>
            <w:tcW w:w="760" w:type="dxa"/>
            <w:vAlign w:val="bottom"/>
            <w:tcBorders>
              <w:bottom w:val="single" w:sz="8" w:color="D9BA05"/>
            </w:tcBorders>
            <w:shd w:val="clear" w:color="auto" w:fill="E6E6E6"/>
          </w:tcPr>
          <w:p>
            <w:pPr>
              <w:spacing w:after="0"/>
              <w:rPr>
                <w:sz w:val="5"/>
                <w:szCs w:val="5"/>
                <w:color w:val="auto"/>
              </w:rPr>
            </w:pPr>
          </w:p>
        </w:tc>
        <w:tc>
          <w:tcPr>
            <w:tcW w:w="260" w:type="dxa"/>
            <w:vAlign w:val="bottom"/>
            <w:tcBorders>
              <w:bottom w:val="single" w:sz="8" w:color="D9BA05"/>
            </w:tcBorders>
            <w:shd w:val="clear" w:color="auto" w:fill="E6E6E6"/>
          </w:tcPr>
          <w:p>
            <w:pPr>
              <w:spacing w:after="0"/>
              <w:rPr>
                <w:sz w:val="5"/>
                <w:szCs w:val="5"/>
                <w:color w:val="auto"/>
              </w:rPr>
            </w:pPr>
          </w:p>
        </w:tc>
        <w:tc>
          <w:tcPr>
            <w:tcW w:w="580" w:type="dxa"/>
            <w:vAlign w:val="bottom"/>
            <w:tcBorders>
              <w:bottom w:val="single" w:sz="8" w:color="D9BA05"/>
            </w:tcBorders>
            <w:shd w:val="clear" w:color="auto" w:fill="E6E6E6"/>
          </w:tcPr>
          <w:p>
            <w:pPr>
              <w:spacing w:after="0"/>
              <w:rPr>
                <w:sz w:val="5"/>
                <w:szCs w:val="5"/>
                <w:color w:val="auto"/>
              </w:rPr>
            </w:pPr>
          </w:p>
        </w:tc>
        <w:tc>
          <w:tcPr>
            <w:tcW w:w="240" w:type="dxa"/>
            <w:vAlign w:val="bottom"/>
            <w:tcBorders>
              <w:bottom w:val="single" w:sz="8" w:color="D9BA05"/>
            </w:tcBorders>
            <w:shd w:val="clear" w:color="auto" w:fill="E6E6E6"/>
          </w:tcPr>
          <w:p>
            <w:pPr>
              <w:spacing w:after="0"/>
              <w:rPr>
                <w:sz w:val="5"/>
                <w:szCs w:val="5"/>
                <w:color w:val="auto"/>
              </w:rPr>
            </w:pPr>
          </w:p>
        </w:tc>
        <w:tc>
          <w:tcPr>
            <w:tcW w:w="680" w:type="dxa"/>
            <w:vAlign w:val="bottom"/>
            <w:tcBorders>
              <w:bottom w:val="single" w:sz="8" w:color="D9BA05"/>
            </w:tcBorders>
            <w:shd w:val="clear" w:color="auto" w:fill="E6E6E6"/>
          </w:tcPr>
          <w:p>
            <w:pPr>
              <w:spacing w:after="0"/>
              <w:rPr>
                <w:sz w:val="5"/>
                <w:szCs w:val="5"/>
                <w:color w:val="auto"/>
              </w:rPr>
            </w:pPr>
          </w:p>
        </w:tc>
        <w:tc>
          <w:tcPr>
            <w:tcW w:w="320" w:type="dxa"/>
            <w:vAlign w:val="bottom"/>
            <w:tcBorders>
              <w:bottom w:val="single" w:sz="8" w:color="D9BA05"/>
            </w:tcBorders>
            <w:shd w:val="clear" w:color="auto" w:fill="E6E6E6"/>
          </w:tcPr>
          <w:p>
            <w:pPr>
              <w:spacing w:after="0"/>
              <w:rPr>
                <w:sz w:val="5"/>
                <w:szCs w:val="5"/>
                <w:color w:val="auto"/>
              </w:rPr>
            </w:pPr>
          </w:p>
        </w:tc>
        <w:tc>
          <w:tcPr>
            <w:tcW w:w="620" w:type="dxa"/>
            <w:vAlign w:val="bottom"/>
            <w:tcBorders>
              <w:bottom w:val="single" w:sz="8" w:color="D9BA05"/>
            </w:tcBorders>
            <w:shd w:val="clear" w:color="auto" w:fill="E6E6E6"/>
          </w:tcPr>
          <w:p>
            <w:pPr>
              <w:spacing w:after="0"/>
              <w:rPr>
                <w:sz w:val="5"/>
                <w:szCs w:val="5"/>
                <w:color w:val="auto"/>
              </w:rPr>
            </w:pPr>
          </w:p>
        </w:tc>
        <w:tc>
          <w:tcPr>
            <w:tcW w:w="360" w:type="dxa"/>
            <w:vAlign w:val="bottom"/>
            <w:tcBorders>
              <w:bottom w:val="single" w:sz="8" w:color="D9BA05"/>
            </w:tcBorders>
            <w:shd w:val="clear" w:color="auto" w:fill="E6E6E6"/>
          </w:tcPr>
          <w:p>
            <w:pPr>
              <w:spacing w:after="0"/>
              <w:rPr>
                <w:sz w:val="5"/>
                <w:szCs w:val="5"/>
                <w:color w:val="auto"/>
              </w:rPr>
            </w:pPr>
          </w:p>
        </w:tc>
        <w:tc>
          <w:tcPr>
            <w:tcW w:w="460" w:type="dxa"/>
            <w:vAlign w:val="bottom"/>
            <w:tcBorders>
              <w:bottom w:val="single" w:sz="8" w:color="D9BA05"/>
            </w:tcBorders>
            <w:shd w:val="clear" w:color="auto" w:fill="E6E6E6"/>
          </w:tcPr>
          <w:p>
            <w:pPr>
              <w:spacing w:after="0"/>
              <w:rPr>
                <w:sz w:val="5"/>
                <w:szCs w:val="5"/>
                <w:color w:val="auto"/>
              </w:rPr>
            </w:pPr>
          </w:p>
        </w:tc>
        <w:tc>
          <w:tcPr>
            <w:tcW w:w="180" w:type="dxa"/>
            <w:vAlign w:val="bottom"/>
            <w:tcBorders>
              <w:bottom w:val="single" w:sz="8" w:color="D9BA05"/>
            </w:tcBorders>
            <w:shd w:val="clear" w:color="auto" w:fill="E6E6E6"/>
          </w:tcPr>
          <w:p>
            <w:pPr>
              <w:spacing w:after="0"/>
              <w:rPr>
                <w:sz w:val="5"/>
                <w:szCs w:val="5"/>
                <w:color w:val="auto"/>
              </w:rPr>
            </w:pPr>
          </w:p>
        </w:tc>
        <w:tc>
          <w:tcPr>
            <w:tcW w:w="700" w:type="dxa"/>
            <w:vAlign w:val="bottom"/>
            <w:tcBorders>
              <w:bottom w:val="single" w:sz="8" w:color="D9BA05"/>
            </w:tcBorders>
            <w:shd w:val="clear" w:color="auto" w:fill="E6E6E6"/>
          </w:tcPr>
          <w:p>
            <w:pPr>
              <w:spacing w:after="0"/>
              <w:rPr>
                <w:sz w:val="5"/>
                <w:szCs w:val="5"/>
                <w:color w:val="auto"/>
              </w:rPr>
            </w:pPr>
          </w:p>
        </w:tc>
        <w:tc>
          <w:tcPr>
            <w:tcW w:w="1040" w:type="dxa"/>
            <w:vAlign w:val="bottom"/>
            <w:tcBorders>
              <w:bottom w:val="single" w:sz="8" w:color="D9BA05"/>
            </w:tcBorders>
            <w:shd w:val="clear" w:color="auto" w:fill="E6E6E6"/>
          </w:tcPr>
          <w:p>
            <w:pPr>
              <w:spacing w:after="0"/>
              <w:rPr>
                <w:sz w:val="5"/>
                <w:szCs w:val="5"/>
                <w:color w:val="auto"/>
              </w:rPr>
            </w:pPr>
          </w:p>
        </w:tc>
      </w:tr>
    </w:tbl>
    <w:p>
      <w:pPr>
        <w:spacing w:after="0" w:line="117" w:lineRule="exact"/>
        <w:rPr>
          <w:sz w:val="20"/>
          <w:szCs w:val="20"/>
          <w:color w:val="auto"/>
        </w:rPr>
      </w:pPr>
    </w:p>
    <w:p>
      <w:pPr>
        <w:ind w:left="340" w:right="180" w:hanging="334"/>
        <w:spacing w:after="0" w:line="229" w:lineRule="auto"/>
        <w:tabs>
          <w:tab w:leader="none" w:pos="340" w:val="left"/>
        </w:tabs>
        <w:numPr>
          <w:ilvl w:val="0"/>
          <w:numId w:val="30"/>
        </w:numPr>
        <w:rPr>
          <w:rFonts w:ascii="Arial" w:cs="Arial" w:eastAsia="Arial" w:hAnsi="Arial"/>
          <w:sz w:val="13"/>
          <w:szCs w:val="13"/>
          <w:color w:val="333333"/>
        </w:rPr>
      </w:pPr>
      <w:r>
        <w:rPr>
          <w:rFonts w:ascii="Arial" w:cs="Arial" w:eastAsia="Arial" w:hAnsi="Arial"/>
          <w:sz w:val="13"/>
          <w:szCs w:val="13"/>
          <w:color w:val="333333"/>
        </w:rPr>
        <w:t>The dollar amounts reported in column (d) represent the average of the amounts reported for the non-CEO NEOs as a group for each corresponding year in the “Total” column of the Summary Compensation Table. Ms. DeMarsilis, Mr. Soltani, Mr. Sussis and former Senior Vice President Human Resources Vivian D’Elia were our only non-CEO NEOs for fiscal years 2022 and 2023. Ms. DeMarsilis, Mr. Soltani, Mr. Sussis and Ms. Kennedy were our only non-CEO NEOs for fiscal years 2024 through 2026.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Movado Group, Inc.        37</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40" w:hanging="334"/>
        <w:spacing w:after="0" w:line="238" w:lineRule="auto"/>
        <w:tabs>
          <w:tab w:leader="none" w:pos="340" w:val="left"/>
        </w:tabs>
        <w:numPr>
          <w:ilvl w:val="0"/>
          <w:numId w:val="31"/>
        </w:numPr>
        <w:rPr>
          <w:rFonts w:ascii="Arial" w:cs="Arial" w:eastAsia="Arial" w:hAnsi="Arial"/>
          <w:sz w:val="12"/>
          <w:szCs w:val="12"/>
          <w:color w:val="333333"/>
        </w:rPr>
      </w:pPr>
      <w:r>
        <w:rPr>
          <w:rFonts w:ascii="Arial" w:cs="Arial" w:eastAsia="Arial" w:hAnsi="Arial"/>
          <w:sz w:val="12"/>
          <w:szCs w:val="12"/>
          <w:color w:val="333333"/>
        </w:rPr>
        <w:t>The dollar amounts reported in column (e) represent the average of the CAP amounts for the non-CEO NEOs, as computed in accordance with Item 402(v) of Regulation S-K. The CAP amounts do not reflect the actual average amount of compensation earned by or paid to the Non-CEO NEOs during the applicable year. In accordance with the requirements of Item 402(v) of Regulation S-K, the following adjustments were made to average total compensation for the Non-CEO NEOs for each year to determine their CAP. (RSU and stock option values are computed in accordance with FASB ASC Topic 718 as of the dates indicated, with the options using similar assumptions as set forth in the “Stock-Based Compensation” note to the Company’s consolidated financial statements included in Form 10-K</w:t>
      </w:r>
    </w:p>
    <w:tbl>
      <w:tblPr>
        <w:tblLayout w:type="fixed"/>
        <w:tblInd w:w="320" w:type="dxa"/>
        <w:tblCellMar>
          <w:top w:w="0" w:type="dxa"/>
          <w:left w:w="0" w:type="dxa"/>
          <w:bottom w:w="0" w:type="dxa"/>
          <w:right w:w="0" w:type="dxa"/>
        </w:tblCellMar>
      </w:tblPr>
      <w:tr>
        <w:trPr>
          <w:trHeight w:val="144"/>
        </w:trPr>
        <w:tc>
          <w:tcPr>
            <w:tcW w:w="2120" w:type="dxa"/>
            <w:vAlign w:val="bottom"/>
            <w:gridSpan w:val="3"/>
          </w:tcPr>
          <w:p>
            <w:pPr>
              <w:jc w:val="right"/>
              <w:ind w:right="426"/>
              <w:spacing w:after="0" w:line="144" w:lineRule="exact"/>
              <w:rPr>
                <w:sz w:val="20"/>
                <w:szCs w:val="20"/>
                <w:color w:val="auto"/>
              </w:rPr>
            </w:pPr>
            <w:r>
              <w:rPr>
                <w:rFonts w:ascii="Arial" w:cs="Arial" w:eastAsia="Arial" w:hAnsi="Arial"/>
                <w:sz w:val="13"/>
                <w:szCs w:val="13"/>
                <w:color w:val="333333"/>
                <w:w w:val="95"/>
              </w:rPr>
              <w:t>for the applicable fiscal year.)</w:t>
            </w: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jc w:val="right"/>
              <w:ind w:right="46"/>
              <w:spacing w:after="0"/>
              <w:rPr>
                <w:sz w:val="20"/>
                <w:szCs w:val="20"/>
                <w:color w:val="auto"/>
              </w:rPr>
            </w:pPr>
            <w:r>
              <w:rPr>
                <w:rFonts w:ascii="Arial" w:cs="Arial" w:eastAsia="Arial" w:hAnsi="Arial"/>
                <w:sz w:val="11"/>
                <w:szCs w:val="11"/>
                <w:b w:val="1"/>
                <w:bCs w:val="1"/>
                <w:color w:val="auto"/>
              </w:rPr>
              <w:t>PLUS</w:t>
            </w:r>
          </w:p>
        </w:tc>
        <w:tc>
          <w:tcPr>
            <w:tcW w:w="4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21"/>
        </w:trPr>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CHANGE IN</w:t>
            </w:r>
          </w:p>
        </w:tc>
        <w:tc>
          <w:tcPr>
            <w:tcW w:w="480" w:type="dxa"/>
            <w:vAlign w:val="bottom"/>
          </w:tcPr>
          <w:p>
            <w:pPr>
              <w:spacing w:after="0"/>
              <w:rPr>
                <w:sz w:val="10"/>
                <w:szCs w:val="10"/>
                <w:color w:val="auto"/>
              </w:rPr>
            </w:pPr>
          </w:p>
        </w:tc>
        <w:tc>
          <w:tcPr>
            <w:tcW w:w="48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PLUS</w:t>
            </w: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PLUS FYE</w:t>
            </w: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PLUS</w:t>
            </w:r>
          </w:p>
        </w:tc>
        <w:tc>
          <w:tcPr>
            <w:tcW w:w="420" w:type="dxa"/>
            <w:vAlign w:val="bottom"/>
          </w:tcPr>
          <w:p>
            <w:pPr>
              <w:spacing w:after="0"/>
              <w:rPr>
                <w:sz w:val="10"/>
                <w:szCs w:val="10"/>
                <w:color w:val="auto"/>
              </w:rPr>
            </w:pPr>
          </w:p>
        </w:tc>
        <w:tc>
          <w:tcPr>
            <w:tcW w:w="5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PLUS</w:t>
            </w:r>
          </w:p>
        </w:tc>
        <w:tc>
          <w:tcPr>
            <w:tcW w:w="800" w:type="dxa"/>
            <w:vAlign w:val="bottom"/>
            <w:gridSpan w:val="2"/>
          </w:tcPr>
          <w:p>
            <w:pPr>
              <w:jc w:val="right"/>
              <w:ind w:right="26"/>
              <w:spacing w:after="0" w:line="122" w:lineRule="exact"/>
              <w:rPr>
                <w:sz w:val="20"/>
                <w:szCs w:val="20"/>
                <w:color w:val="auto"/>
              </w:rPr>
            </w:pPr>
            <w:r>
              <w:rPr>
                <w:rFonts w:ascii="Arial" w:cs="Arial" w:eastAsia="Arial" w:hAnsi="Arial"/>
                <w:sz w:val="11"/>
                <w:szCs w:val="11"/>
                <w:b w:val="1"/>
                <w:bCs w:val="1"/>
                <w:color w:val="auto"/>
              </w:rPr>
              <w:t>FAIR VALUE</w:t>
            </w:r>
          </w:p>
        </w:tc>
        <w:tc>
          <w:tcPr>
            <w:tcW w:w="960" w:type="dxa"/>
            <w:vAlign w:val="bottom"/>
            <w:gridSpan w:val="2"/>
          </w:tcPr>
          <w:p>
            <w:pPr>
              <w:jc w:val="right"/>
              <w:ind w:right="66"/>
              <w:spacing w:after="0" w:line="122" w:lineRule="exact"/>
              <w:rPr>
                <w:sz w:val="20"/>
                <w:szCs w:val="20"/>
                <w:color w:val="auto"/>
              </w:rPr>
            </w:pPr>
            <w:r>
              <w:rPr>
                <w:rFonts w:ascii="Arial" w:cs="Arial" w:eastAsia="Arial" w:hAnsi="Arial"/>
                <w:sz w:val="11"/>
                <w:szCs w:val="11"/>
                <w:b w:val="1"/>
                <w:bCs w:val="1"/>
                <w:color w:val="auto"/>
              </w:rPr>
              <w:t>CHANGE IN</w:t>
            </w: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FAIR VALUE</w:t>
            </w:r>
          </w:p>
        </w:tc>
        <w:tc>
          <w:tcPr>
            <w:tcW w:w="8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PLUS FYE</w:t>
            </w:r>
          </w:p>
        </w:tc>
        <w:tc>
          <w:tcPr>
            <w:tcW w:w="9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CHANGE IN</w:t>
            </w:r>
          </w:p>
        </w:tc>
        <w:tc>
          <w:tcPr>
            <w:tcW w:w="92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CHANGE IN</w:t>
            </w:r>
          </w:p>
        </w:tc>
        <w:tc>
          <w:tcPr>
            <w:tcW w:w="8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FROM END</w:t>
            </w:r>
          </w:p>
        </w:tc>
        <w:tc>
          <w:tcPr>
            <w:tcW w:w="960" w:type="dxa"/>
            <w:vAlign w:val="bottom"/>
            <w:gridSpan w:val="2"/>
          </w:tcPr>
          <w:p>
            <w:pPr>
              <w:jc w:val="right"/>
              <w:ind w:right="66"/>
              <w:spacing w:after="0" w:line="122" w:lineRule="exact"/>
              <w:rPr>
                <w:sz w:val="20"/>
                <w:szCs w:val="20"/>
                <w:color w:val="auto"/>
              </w:rPr>
            </w:pPr>
            <w:r>
              <w:rPr>
                <w:rFonts w:ascii="Arial" w:cs="Arial" w:eastAsia="Arial" w:hAnsi="Arial"/>
                <w:sz w:val="11"/>
                <w:szCs w:val="11"/>
                <w:b w:val="1"/>
                <w:bCs w:val="1"/>
                <w:color w:val="auto"/>
              </w:rPr>
              <w:t>FAIR VALUE</w:t>
            </w: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OF RSUS</w:t>
            </w:r>
          </w:p>
        </w:tc>
        <w:tc>
          <w:tcPr>
            <w:tcW w:w="8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FAIR VALUE</w:t>
            </w:r>
          </w:p>
        </w:tc>
        <w:tc>
          <w:tcPr>
            <w:tcW w:w="9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FAIR VALUE</w:t>
            </w:r>
          </w:p>
        </w:tc>
        <w:tc>
          <w:tcPr>
            <w:tcW w:w="92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FAIR VALUE</w:t>
            </w:r>
          </w:p>
        </w:tc>
        <w:tc>
          <w:tcPr>
            <w:tcW w:w="8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OF PRIOR</w:t>
            </w:r>
          </w:p>
        </w:tc>
        <w:tc>
          <w:tcPr>
            <w:tcW w:w="960" w:type="dxa"/>
            <w:vAlign w:val="bottom"/>
            <w:gridSpan w:val="2"/>
          </w:tcPr>
          <w:p>
            <w:pPr>
              <w:jc w:val="right"/>
              <w:ind w:right="66"/>
              <w:spacing w:after="0" w:line="122" w:lineRule="exact"/>
              <w:rPr>
                <w:sz w:val="20"/>
                <w:szCs w:val="20"/>
                <w:color w:val="auto"/>
              </w:rPr>
            </w:pPr>
            <w:r>
              <w:rPr>
                <w:rFonts w:ascii="Arial" w:cs="Arial" w:eastAsia="Arial" w:hAnsi="Arial"/>
                <w:sz w:val="11"/>
                <w:szCs w:val="11"/>
                <w:b w:val="1"/>
                <w:bCs w:val="1"/>
                <w:color w:val="auto"/>
              </w:rPr>
              <w:t>FROM END</w:t>
            </w: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AND PSUS</w:t>
            </w:r>
          </w:p>
        </w:tc>
        <w:tc>
          <w:tcPr>
            <w:tcW w:w="800" w:type="dxa"/>
            <w:vAlign w:val="bottom"/>
            <w:gridSpan w:val="2"/>
          </w:tcPr>
          <w:p>
            <w:pPr>
              <w:jc w:val="right"/>
              <w:ind w:right="6"/>
              <w:spacing w:after="0" w:line="122" w:lineRule="exact"/>
              <w:rPr>
                <w:sz w:val="20"/>
                <w:szCs w:val="20"/>
                <w:color w:val="auto"/>
              </w:rPr>
            </w:pPr>
            <w:r>
              <w:rPr>
                <w:rFonts w:ascii="Arial" w:cs="Arial" w:eastAsia="Arial" w:hAnsi="Arial"/>
                <w:sz w:val="11"/>
                <w:szCs w:val="11"/>
                <w:b w:val="1"/>
                <w:bCs w:val="1"/>
                <w:color w:val="auto"/>
              </w:rPr>
              <w:t>OF OPTIONS</w:t>
            </w:r>
          </w:p>
        </w:tc>
        <w:tc>
          <w:tcPr>
            <w:tcW w:w="900" w:type="dxa"/>
            <w:vAlign w:val="bottom"/>
            <w:gridSpan w:val="2"/>
          </w:tcPr>
          <w:p>
            <w:pPr>
              <w:jc w:val="right"/>
              <w:ind w:right="6"/>
              <w:spacing w:after="0" w:line="122" w:lineRule="exact"/>
              <w:rPr>
                <w:sz w:val="20"/>
                <w:szCs w:val="20"/>
                <w:color w:val="auto"/>
              </w:rPr>
            </w:pPr>
            <w:r>
              <w:rPr>
                <w:rFonts w:ascii="Arial" w:cs="Arial" w:eastAsia="Arial" w:hAnsi="Arial"/>
                <w:sz w:val="11"/>
                <w:szCs w:val="11"/>
                <w:b w:val="1"/>
                <w:bCs w:val="1"/>
                <w:color w:val="auto"/>
              </w:rPr>
              <w:t>OF UNVESTED</w:t>
            </w:r>
          </w:p>
        </w:tc>
        <w:tc>
          <w:tcPr>
            <w:tcW w:w="920" w:type="dxa"/>
            <w:vAlign w:val="bottom"/>
            <w:gridSpan w:val="2"/>
          </w:tcPr>
          <w:p>
            <w:pPr>
              <w:jc w:val="right"/>
              <w:ind w:right="6"/>
              <w:spacing w:after="0" w:line="122" w:lineRule="exact"/>
              <w:rPr>
                <w:sz w:val="20"/>
                <w:szCs w:val="20"/>
                <w:color w:val="auto"/>
              </w:rPr>
            </w:pPr>
            <w:r>
              <w:rPr>
                <w:rFonts w:ascii="Arial" w:cs="Arial" w:eastAsia="Arial" w:hAnsi="Arial"/>
                <w:sz w:val="11"/>
                <w:szCs w:val="11"/>
                <w:b w:val="1"/>
                <w:bCs w:val="1"/>
                <w:color w:val="auto"/>
              </w:rPr>
              <w:t>OF UNVESTED</w:t>
            </w:r>
          </w:p>
        </w:tc>
        <w:tc>
          <w:tcPr>
            <w:tcW w:w="360" w:type="dxa"/>
            <w:vAlign w:val="bottom"/>
          </w:tcPr>
          <w:p>
            <w:pPr>
              <w:spacing w:after="0"/>
              <w:rPr>
                <w:sz w:val="10"/>
                <w:szCs w:val="10"/>
                <w:color w:val="auto"/>
              </w:rPr>
            </w:pPr>
          </w:p>
        </w:tc>
        <w:tc>
          <w:tcPr>
            <w:tcW w:w="44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FY</w:t>
            </w:r>
          </w:p>
        </w:tc>
        <w:tc>
          <w:tcPr>
            <w:tcW w:w="960" w:type="dxa"/>
            <w:vAlign w:val="bottom"/>
            <w:gridSpan w:val="2"/>
          </w:tcPr>
          <w:p>
            <w:pPr>
              <w:jc w:val="right"/>
              <w:ind w:right="66"/>
              <w:spacing w:after="0" w:line="122" w:lineRule="exact"/>
              <w:rPr>
                <w:sz w:val="20"/>
                <w:szCs w:val="20"/>
                <w:color w:val="auto"/>
              </w:rPr>
            </w:pPr>
            <w:r>
              <w:rPr>
                <w:rFonts w:ascii="Arial" w:cs="Arial" w:eastAsia="Arial" w:hAnsi="Arial"/>
                <w:sz w:val="11"/>
                <w:szCs w:val="11"/>
                <w:b w:val="1"/>
                <w:bCs w:val="1"/>
                <w:color w:val="auto"/>
              </w:rPr>
              <w:t>OF PRIOR</w:t>
            </w: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1"/>
        </w:trPr>
        <w:tc>
          <w:tcPr>
            <w:tcW w:w="58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SUMMARY</w:t>
            </w:r>
          </w:p>
        </w:tc>
        <w:tc>
          <w:tcPr>
            <w:tcW w:w="7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MINUS</w:t>
            </w: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GRANTED</w:t>
            </w:r>
          </w:p>
        </w:tc>
        <w:tc>
          <w:tcPr>
            <w:tcW w:w="8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GRANTED</w:t>
            </w:r>
          </w:p>
        </w:tc>
        <w:tc>
          <w:tcPr>
            <w:tcW w:w="9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RSUS AND</w:t>
            </w:r>
          </w:p>
        </w:tc>
        <w:tc>
          <w:tcPr>
            <w:tcW w:w="92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OPTIONS</w:t>
            </w:r>
          </w:p>
        </w:tc>
        <w:tc>
          <w:tcPr>
            <w:tcW w:w="800" w:type="dxa"/>
            <w:vAlign w:val="bottom"/>
            <w:gridSpan w:val="2"/>
          </w:tcPr>
          <w:p>
            <w:pPr>
              <w:jc w:val="right"/>
              <w:ind w:right="26"/>
              <w:spacing w:after="0" w:line="122" w:lineRule="exact"/>
              <w:rPr>
                <w:sz w:val="20"/>
                <w:szCs w:val="20"/>
                <w:color w:val="auto"/>
              </w:rPr>
            </w:pPr>
            <w:r>
              <w:rPr>
                <w:rFonts w:ascii="Arial" w:cs="Arial" w:eastAsia="Arial" w:hAnsi="Arial"/>
                <w:sz w:val="11"/>
                <w:szCs w:val="11"/>
                <w:b w:val="1"/>
                <w:bCs w:val="1"/>
                <w:color w:val="auto"/>
              </w:rPr>
              <w:t>TO VESTING</w:t>
            </w:r>
          </w:p>
        </w:tc>
        <w:tc>
          <w:tcPr>
            <w:tcW w:w="480" w:type="dxa"/>
            <w:vAlign w:val="bottom"/>
          </w:tcPr>
          <w:p>
            <w:pPr>
              <w:spacing w:after="0"/>
              <w:rPr>
                <w:sz w:val="10"/>
                <w:szCs w:val="10"/>
                <w:color w:val="auto"/>
              </w:rPr>
            </w:pPr>
          </w:p>
        </w:tc>
        <w:tc>
          <w:tcPr>
            <w:tcW w:w="480" w:type="dxa"/>
            <w:vAlign w:val="bottom"/>
          </w:tcPr>
          <w:p>
            <w:pPr>
              <w:jc w:val="right"/>
              <w:ind w:right="66"/>
              <w:spacing w:after="0" w:line="122" w:lineRule="exact"/>
              <w:rPr>
                <w:sz w:val="20"/>
                <w:szCs w:val="20"/>
                <w:color w:val="auto"/>
              </w:rPr>
            </w:pPr>
            <w:r>
              <w:rPr>
                <w:rFonts w:ascii="Arial" w:cs="Arial" w:eastAsia="Arial" w:hAnsi="Arial"/>
                <w:sz w:val="11"/>
                <w:szCs w:val="11"/>
                <w:b w:val="1"/>
                <w:bCs w:val="1"/>
                <w:color w:val="auto"/>
              </w:rPr>
              <w:t>FY</w:t>
            </w:r>
          </w:p>
        </w:tc>
        <w:tc>
          <w:tcPr>
            <w:tcW w:w="540" w:type="dxa"/>
            <w:vAlign w:val="bottom"/>
          </w:tcPr>
          <w:p>
            <w:pPr>
              <w:spacing w:after="0"/>
              <w:rPr>
                <w:sz w:val="10"/>
                <w:szCs w:val="10"/>
                <w:color w:val="auto"/>
              </w:rPr>
            </w:pPr>
          </w:p>
        </w:tc>
        <w:tc>
          <w:tcPr>
            <w:tcW w:w="560" w:type="dxa"/>
            <w:vAlign w:val="bottom"/>
          </w:tcPr>
          <w:p>
            <w:pPr>
              <w:spacing w:after="0"/>
              <w:rPr>
                <w:sz w:val="10"/>
                <w:szCs w:val="10"/>
                <w:color w:val="auto"/>
              </w:rPr>
            </w:pPr>
          </w:p>
        </w:tc>
      </w:tr>
      <w:tr>
        <w:trPr>
          <w:trHeight w:val="122"/>
        </w:trPr>
        <w:tc>
          <w:tcPr>
            <w:tcW w:w="58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COMP.</w:t>
            </w:r>
          </w:p>
        </w:tc>
        <w:tc>
          <w:tcPr>
            <w:tcW w:w="7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RSU AND</w:t>
            </w:r>
          </w:p>
        </w:tc>
        <w:tc>
          <w:tcPr>
            <w:tcW w:w="260" w:type="dxa"/>
            <w:vAlign w:val="bottom"/>
          </w:tcPr>
          <w:p>
            <w:pPr>
              <w:spacing w:after="0"/>
              <w:rPr>
                <w:sz w:val="10"/>
                <w:szCs w:val="10"/>
                <w:color w:val="auto"/>
              </w:rPr>
            </w:pPr>
          </w:p>
        </w:tc>
        <w:tc>
          <w:tcPr>
            <w:tcW w:w="44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w w:val="90"/>
              </w:rPr>
              <w:t>MINUS</w:t>
            </w:r>
          </w:p>
        </w:tc>
        <w:tc>
          <w:tcPr>
            <w:tcW w:w="7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DURING</w:t>
            </w:r>
          </w:p>
        </w:tc>
        <w:tc>
          <w:tcPr>
            <w:tcW w:w="8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DURING</w:t>
            </w:r>
          </w:p>
        </w:tc>
        <w:tc>
          <w:tcPr>
            <w:tcW w:w="400" w:type="dxa"/>
            <w:vAlign w:val="bottom"/>
          </w:tcPr>
          <w:p>
            <w:pPr>
              <w:spacing w:after="0"/>
              <w:rPr>
                <w:sz w:val="10"/>
                <w:szCs w:val="10"/>
                <w:color w:val="auto"/>
              </w:rPr>
            </w:pPr>
          </w:p>
        </w:tc>
        <w:tc>
          <w:tcPr>
            <w:tcW w:w="500" w:type="dxa"/>
            <w:vAlign w:val="bottom"/>
          </w:tcPr>
          <w:p>
            <w:pPr>
              <w:jc w:val="right"/>
              <w:ind w:right="6"/>
              <w:spacing w:after="0" w:line="122" w:lineRule="exact"/>
              <w:rPr>
                <w:sz w:val="20"/>
                <w:szCs w:val="20"/>
                <w:color w:val="auto"/>
              </w:rPr>
            </w:pPr>
            <w:r>
              <w:rPr>
                <w:rFonts w:ascii="Arial" w:cs="Arial" w:eastAsia="Arial" w:hAnsi="Arial"/>
                <w:sz w:val="11"/>
                <w:szCs w:val="11"/>
                <w:b w:val="1"/>
                <w:bCs w:val="1"/>
                <w:color w:val="auto"/>
              </w:rPr>
              <w:t>PSUS</w:t>
            </w:r>
          </w:p>
        </w:tc>
        <w:tc>
          <w:tcPr>
            <w:tcW w:w="92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FROM END</w:t>
            </w:r>
          </w:p>
        </w:tc>
        <w:tc>
          <w:tcPr>
            <w:tcW w:w="8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DATE OF</w:t>
            </w:r>
          </w:p>
        </w:tc>
        <w:tc>
          <w:tcPr>
            <w:tcW w:w="960" w:type="dxa"/>
            <w:vAlign w:val="bottom"/>
            <w:gridSpan w:val="2"/>
          </w:tcPr>
          <w:p>
            <w:pPr>
              <w:jc w:val="right"/>
              <w:ind w:right="66"/>
              <w:spacing w:after="0" w:line="122" w:lineRule="exact"/>
              <w:rPr>
                <w:sz w:val="20"/>
                <w:szCs w:val="20"/>
                <w:color w:val="auto"/>
              </w:rPr>
            </w:pPr>
            <w:r>
              <w:rPr>
                <w:rFonts w:ascii="Arial" w:cs="Arial" w:eastAsia="Arial" w:hAnsi="Arial"/>
                <w:sz w:val="11"/>
                <w:szCs w:val="11"/>
                <w:b w:val="1"/>
                <w:bCs w:val="1"/>
                <w:color w:val="auto"/>
              </w:rPr>
              <w:t>TO VESTING</w:t>
            </w:r>
          </w:p>
        </w:tc>
        <w:tc>
          <w:tcPr>
            <w:tcW w:w="1100" w:type="dxa"/>
            <w:vAlign w:val="bottom"/>
            <w:gridSpan w:val="2"/>
          </w:tcPr>
          <w:p>
            <w:pPr>
              <w:jc w:val="right"/>
              <w:ind w:right="86"/>
              <w:spacing w:after="0" w:line="122" w:lineRule="exact"/>
              <w:rPr>
                <w:sz w:val="20"/>
                <w:szCs w:val="20"/>
                <w:color w:val="auto"/>
              </w:rPr>
            </w:pPr>
            <w:r>
              <w:rPr>
                <w:rFonts w:ascii="Arial" w:cs="Arial" w:eastAsia="Arial" w:hAnsi="Arial"/>
                <w:sz w:val="11"/>
                <w:szCs w:val="11"/>
                <w:b w:val="1"/>
                <w:bCs w:val="1"/>
                <w:color w:val="auto"/>
              </w:rPr>
              <w:t>AVERAGE</w:t>
            </w:r>
          </w:p>
        </w:tc>
      </w:tr>
      <w:tr>
        <w:trPr>
          <w:trHeight w:val="122"/>
        </w:trPr>
        <w:tc>
          <w:tcPr>
            <w:tcW w:w="580" w:type="dxa"/>
            <w:vAlign w:val="bottom"/>
          </w:tcPr>
          <w:p>
            <w:pPr>
              <w:spacing w:after="0"/>
              <w:rPr>
                <w:sz w:val="10"/>
                <w:szCs w:val="10"/>
                <w:color w:val="auto"/>
              </w:rPr>
            </w:pPr>
          </w:p>
        </w:tc>
        <w:tc>
          <w:tcPr>
            <w:tcW w:w="84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TABLE NON-</w:t>
            </w:r>
          </w:p>
        </w:tc>
        <w:tc>
          <w:tcPr>
            <w:tcW w:w="7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PSU</w:t>
            </w:r>
          </w:p>
        </w:tc>
        <w:tc>
          <w:tcPr>
            <w:tcW w:w="700" w:type="dxa"/>
            <w:vAlign w:val="bottom"/>
            <w:gridSpan w:val="2"/>
          </w:tcPr>
          <w:p>
            <w:pPr>
              <w:ind w:left="180"/>
              <w:spacing w:after="0" w:line="122" w:lineRule="exact"/>
              <w:rPr>
                <w:sz w:val="20"/>
                <w:szCs w:val="20"/>
                <w:color w:val="auto"/>
              </w:rPr>
            </w:pPr>
            <w:r>
              <w:rPr>
                <w:rFonts w:ascii="Arial" w:cs="Arial" w:eastAsia="Arial" w:hAnsi="Arial"/>
                <w:sz w:val="11"/>
                <w:szCs w:val="11"/>
                <w:b w:val="1"/>
                <w:bCs w:val="1"/>
                <w:color w:val="auto"/>
              </w:rPr>
              <w:t>OPTION</w:t>
            </w:r>
          </w:p>
        </w:tc>
        <w:tc>
          <w:tcPr>
            <w:tcW w:w="7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FY THAT</w:t>
            </w:r>
          </w:p>
        </w:tc>
        <w:tc>
          <w:tcPr>
            <w:tcW w:w="8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FY THAT</w:t>
            </w:r>
          </w:p>
        </w:tc>
        <w:tc>
          <w:tcPr>
            <w:tcW w:w="9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FROM END</w:t>
            </w:r>
          </w:p>
        </w:tc>
        <w:tc>
          <w:tcPr>
            <w:tcW w:w="92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OF PRIOR</w:t>
            </w:r>
          </w:p>
        </w:tc>
        <w:tc>
          <w:tcPr>
            <w:tcW w:w="8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RSUS AND</w:t>
            </w:r>
          </w:p>
        </w:tc>
        <w:tc>
          <w:tcPr>
            <w:tcW w:w="960" w:type="dxa"/>
            <w:vAlign w:val="bottom"/>
            <w:gridSpan w:val="2"/>
          </w:tcPr>
          <w:p>
            <w:pPr>
              <w:jc w:val="right"/>
              <w:ind w:right="66"/>
              <w:spacing w:after="0" w:line="122" w:lineRule="exact"/>
              <w:rPr>
                <w:sz w:val="20"/>
                <w:szCs w:val="20"/>
                <w:color w:val="auto"/>
              </w:rPr>
            </w:pPr>
            <w:r>
              <w:rPr>
                <w:rFonts w:ascii="Arial" w:cs="Arial" w:eastAsia="Arial" w:hAnsi="Arial"/>
                <w:sz w:val="11"/>
                <w:szCs w:val="11"/>
                <w:b w:val="1"/>
                <w:bCs w:val="1"/>
                <w:color w:val="auto"/>
              </w:rPr>
              <w:t>DATE OF</w:t>
            </w:r>
          </w:p>
        </w:tc>
        <w:tc>
          <w:tcPr>
            <w:tcW w:w="1100" w:type="dxa"/>
            <w:vAlign w:val="bottom"/>
            <w:gridSpan w:val="2"/>
          </w:tcPr>
          <w:p>
            <w:pPr>
              <w:jc w:val="right"/>
              <w:ind w:right="86"/>
              <w:spacing w:after="0" w:line="122" w:lineRule="exact"/>
              <w:rPr>
                <w:sz w:val="20"/>
                <w:szCs w:val="20"/>
                <w:color w:val="auto"/>
              </w:rPr>
            </w:pPr>
            <w:r>
              <w:rPr>
                <w:rFonts w:ascii="Arial" w:cs="Arial" w:eastAsia="Arial" w:hAnsi="Arial"/>
                <w:sz w:val="11"/>
                <w:szCs w:val="11"/>
                <w:b w:val="1"/>
                <w:bCs w:val="1"/>
                <w:color w:val="auto"/>
              </w:rPr>
              <w:t>COMPENSATION</w:t>
            </w:r>
          </w:p>
        </w:tc>
      </w:tr>
      <w:tr>
        <w:trPr>
          <w:trHeight w:val="122"/>
        </w:trPr>
        <w:tc>
          <w:tcPr>
            <w:tcW w:w="58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CEO NEOS</w:t>
            </w:r>
          </w:p>
        </w:tc>
        <w:tc>
          <w:tcPr>
            <w:tcW w:w="7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GRANT</w:t>
            </w:r>
          </w:p>
        </w:tc>
        <w:tc>
          <w:tcPr>
            <w:tcW w:w="7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GRANT</w:t>
            </w:r>
          </w:p>
        </w:tc>
        <w:tc>
          <w:tcPr>
            <w:tcW w:w="7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REMAINED</w:t>
            </w:r>
          </w:p>
        </w:tc>
        <w:tc>
          <w:tcPr>
            <w:tcW w:w="8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REMAINED</w:t>
            </w:r>
          </w:p>
        </w:tc>
        <w:tc>
          <w:tcPr>
            <w:tcW w:w="900" w:type="dxa"/>
            <w:vAlign w:val="bottom"/>
            <w:gridSpan w:val="2"/>
          </w:tcPr>
          <w:p>
            <w:pPr>
              <w:jc w:val="right"/>
              <w:ind w:right="6"/>
              <w:spacing w:after="0" w:line="122" w:lineRule="exact"/>
              <w:rPr>
                <w:sz w:val="20"/>
                <w:szCs w:val="20"/>
                <w:color w:val="auto"/>
              </w:rPr>
            </w:pPr>
            <w:r>
              <w:rPr>
                <w:rFonts w:ascii="Arial" w:cs="Arial" w:eastAsia="Arial" w:hAnsi="Arial"/>
                <w:sz w:val="11"/>
                <w:szCs w:val="11"/>
                <w:b w:val="1"/>
                <w:bCs w:val="1"/>
                <w:color w:val="auto"/>
              </w:rPr>
              <w:t>OF PRIOR FY</w:t>
            </w:r>
          </w:p>
        </w:tc>
        <w:tc>
          <w:tcPr>
            <w:tcW w:w="420" w:type="dxa"/>
            <w:vAlign w:val="bottom"/>
          </w:tcPr>
          <w:p>
            <w:pPr>
              <w:spacing w:after="0"/>
              <w:rPr>
                <w:sz w:val="10"/>
                <w:szCs w:val="10"/>
                <w:color w:val="auto"/>
              </w:rPr>
            </w:pPr>
          </w:p>
        </w:tc>
        <w:tc>
          <w:tcPr>
            <w:tcW w:w="50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FY</w:t>
            </w:r>
          </w:p>
        </w:tc>
        <w:tc>
          <w:tcPr>
            <w:tcW w:w="8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PSUS THAT</w:t>
            </w:r>
          </w:p>
        </w:tc>
        <w:tc>
          <w:tcPr>
            <w:tcW w:w="960" w:type="dxa"/>
            <w:vAlign w:val="bottom"/>
            <w:gridSpan w:val="2"/>
          </w:tcPr>
          <w:p>
            <w:pPr>
              <w:jc w:val="right"/>
              <w:ind w:right="26"/>
              <w:spacing w:after="0" w:line="122" w:lineRule="exact"/>
              <w:rPr>
                <w:sz w:val="20"/>
                <w:szCs w:val="20"/>
                <w:color w:val="auto"/>
              </w:rPr>
            </w:pPr>
            <w:r>
              <w:rPr>
                <w:rFonts w:ascii="Arial" w:cs="Arial" w:eastAsia="Arial" w:hAnsi="Arial"/>
                <w:sz w:val="11"/>
                <w:szCs w:val="11"/>
                <w:b w:val="1"/>
                <w:bCs w:val="1"/>
                <w:color w:val="auto"/>
              </w:rPr>
              <w:t>OPTIONS THAT</w:t>
            </w:r>
          </w:p>
        </w:tc>
        <w:tc>
          <w:tcPr>
            <w:tcW w:w="1100" w:type="dxa"/>
            <w:vAlign w:val="bottom"/>
            <w:gridSpan w:val="2"/>
          </w:tcPr>
          <w:p>
            <w:pPr>
              <w:jc w:val="right"/>
              <w:ind w:right="86"/>
              <w:spacing w:after="0" w:line="122" w:lineRule="exact"/>
              <w:rPr>
                <w:sz w:val="20"/>
                <w:szCs w:val="20"/>
                <w:color w:val="auto"/>
              </w:rPr>
            </w:pPr>
            <w:r>
              <w:rPr>
                <w:rFonts w:ascii="Arial" w:cs="Arial" w:eastAsia="Arial" w:hAnsi="Arial"/>
                <w:sz w:val="11"/>
                <w:szCs w:val="11"/>
                <w:b w:val="1"/>
                <w:bCs w:val="1"/>
                <w:color w:val="auto"/>
              </w:rPr>
              <w:t>ACTUALLY PAID</w:t>
            </w:r>
          </w:p>
        </w:tc>
      </w:tr>
      <w:tr>
        <w:trPr>
          <w:trHeight w:val="122"/>
        </w:trPr>
        <w:tc>
          <w:tcPr>
            <w:tcW w:w="580" w:type="dxa"/>
            <w:vAlign w:val="bottom"/>
          </w:tcPr>
          <w:p>
            <w:pPr>
              <w:spacing w:after="0"/>
              <w:rPr>
                <w:sz w:val="10"/>
                <w:szCs w:val="10"/>
                <w:color w:val="auto"/>
              </w:rPr>
            </w:pPr>
          </w:p>
        </w:tc>
        <w:tc>
          <w:tcPr>
            <w:tcW w:w="84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AVERAGE</w:t>
            </w:r>
          </w:p>
        </w:tc>
        <w:tc>
          <w:tcPr>
            <w:tcW w:w="700" w:type="dxa"/>
            <w:vAlign w:val="bottom"/>
          </w:tcPr>
          <w:p>
            <w:pPr>
              <w:jc w:val="right"/>
              <w:ind w:right="26"/>
              <w:spacing w:after="0" w:line="122" w:lineRule="exact"/>
              <w:rPr>
                <w:sz w:val="20"/>
                <w:szCs w:val="20"/>
                <w:color w:val="auto"/>
              </w:rPr>
            </w:pPr>
            <w:r>
              <w:rPr>
                <w:rFonts w:ascii="Arial" w:cs="Arial" w:eastAsia="Arial" w:hAnsi="Arial"/>
                <w:sz w:val="11"/>
                <w:szCs w:val="11"/>
                <w:b w:val="1"/>
                <w:bCs w:val="1"/>
                <w:color w:val="auto"/>
              </w:rPr>
              <w:t>DATE FAIR</w:t>
            </w:r>
          </w:p>
        </w:tc>
        <w:tc>
          <w:tcPr>
            <w:tcW w:w="700" w:type="dxa"/>
            <w:vAlign w:val="bottom"/>
            <w:gridSpan w:val="2"/>
          </w:tcPr>
          <w:p>
            <w:pPr>
              <w:jc w:val="right"/>
              <w:ind w:right="6"/>
              <w:spacing w:after="0" w:line="122" w:lineRule="exact"/>
              <w:rPr>
                <w:sz w:val="20"/>
                <w:szCs w:val="20"/>
                <w:color w:val="auto"/>
              </w:rPr>
            </w:pPr>
            <w:r>
              <w:rPr>
                <w:rFonts w:ascii="Arial" w:cs="Arial" w:eastAsia="Arial" w:hAnsi="Arial"/>
                <w:sz w:val="11"/>
                <w:szCs w:val="11"/>
                <w:b w:val="1"/>
                <w:bCs w:val="1"/>
                <w:color w:val="auto"/>
              </w:rPr>
              <w:t>DATE FAIR</w:t>
            </w:r>
          </w:p>
        </w:tc>
        <w:tc>
          <w:tcPr>
            <w:tcW w:w="780" w:type="dxa"/>
            <w:vAlign w:val="bottom"/>
          </w:tcPr>
          <w:p>
            <w:pPr>
              <w:jc w:val="right"/>
              <w:ind w:right="46"/>
              <w:spacing w:after="0" w:line="122" w:lineRule="exact"/>
              <w:rPr>
                <w:sz w:val="20"/>
                <w:szCs w:val="20"/>
                <w:color w:val="auto"/>
              </w:rPr>
            </w:pPr>
            <w:r>
              <w:rPr>
                <w:rFonts w:ascii="Arial" w:cs="Arial" w:eastAsia="Arial" w:hAnsi="Arial"/>
                <w:sz w:val="11"/>
                <w:szCs w:val="11"/>
                <w:b w:val="1"/>
                <w:bCs w:val="1"/>
                <w:color w:val="auto"/>
              </w:rPr>
              <w:t>UNVESTED</w:t>
            </w:r>
          </w:p>
        </w:tc>
        <w:tc>
          <w:tcPr>
            <w:tcW w:w="8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UNVESTED</w:t>
            </w:r>
          </w:p>
        </w:tc>
        <w:tc>
          <w:tcPr>
            <w:tcW w:w="9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TO END OF</w:t>
            </w:r>
          </w:p>
        </w:tc>
        <w:tc>
          <w:tcPr>
            <w:tcW w:w="92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TO END OF</w:t>
            </w:r>
          </w:p>
        </w:tc>
        <w:tc>
          <w:tcPr>
            <w:tcW w:w="800" w:type="dxa"/>
            <w:vAlign w:val="bottom"/>
            <w:gridSpan w:val="2"/>
          </w:tcPr>
          <w:p>
            <w:pPr>
              <w:jc w:val="right"/>
              <w:ind w:right="46"/>
              <w:spacing w:after="0" w:line="122" w:lineRule="exact"/>
              <w:rPr>
                <w:sz w:val="20"/>
                <w:szCs w:val="20"/>
                <w:color w:val="auto"/>
              </w:rPr>
            </w:pPr>
            <w:r>
              <w:rPr>
                <w:rFonts w:ascii="Arial" w:cs="Arial" w:eastAsia="Arial" w:hAnsi="Arial"/>
                <w:sz w:val="11"/>
                <w:szCs w:val="11"/>
                <w:b w:val="1"/>
                <w:bCs w:val="1"/>
                <w:color w:val="auto"/>
              </w:rPr>
              <w:t>VESTED IN</w:t>
            </w:r>
          </w:p>
        </w:tc>
        <w:tc>
          <w:tcPr>
            <w:tcW w:w="960" w:type="dxa"/>
            <w:vAlign w:val="bottom"/>
            <w:gridSpan w:val="2"/>
          </w:tcPr>
          <w:p>
            <w:pPr>
              <w:jc w:val="right"/>
              <w:ind w:right="66"/>
              <w:spacing w:after="0" w:line="122" w:lineRule="exact"/>
              <w:rPr>
                <w:sz w:val="20"/>
                <w:szCs w:val="20"/>
                <w:color w:val="auto"/>
              </w:rPr>
            </w:pPr>
            <w:r>
              <w:rPr>
                <w:rFonts w:ascii="Arial" w:cs="Arial" w:eastAsia="Arial" w:hAnsi="Arial"/>
                <w:sz w:val="11"/>
                <w:szCs w:val="11"/>
                <w:b w:val="1"/>
                <w:bCs w:val="1"/>
                <w:color w:val="auto"/>
              </w:rPr>
              <w:t>VESTED IN</w:t>
            </w:r>
          </w:p>
        </w:tc>
        <w:tc>
          <w:tcPr>
            <w:tcW w:w="1100" w:type="dxa"/>
            <w:vAlign w:val="bottom"/>
            <w:gridSpan w:val="2"/>
          </w:tcPr>
          <w:p>
            <w:pPr>
              <w:jc w:val="right"/>
              <w:ind w:right="86"/>
              <w:spacing w:after="0" w:line="122" w:lineRule="exact"/>
              <w:rPr>
                <w:sz w:val="20"/>
                <w:szCs w:val="20"/>
                <w:color w:val="auto"/>
              </w:rPr>
            </w:pPr>
            <w:r>
              <w:rPr>
                <w:rFonts w:ascii="Arial" w:cs="Arial" w:eastAsia="Arial" w:hAnsi="Arial"/>
                <w:sz w:val="11"/>
                <w:szCs w:val="11"/>
                <w:b w:val="1"/>
                <w:bCs w:val="1"/>
                <w:color w:val="auto"/>
              </w:rPr>
              <w:t>TO NON-CEO</w:t>
            </w:r>
          </w:p>
        </w:tc>
      </w:tr>
      <w:tr>
        <w:trPr>
          <w:trHeight w:val="148"/>
        </w:trPr>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YEAR</w:t>
            </w:r>
          </w:p>
        </w:tc>
        <w:tc>
          <w:tcPr>
            <w:tcW w:w="840" w:type="dxa"/>
            <w:vAlign w:val="bottom"/>
          </w:tcPr>
          <w:p>
            <w:pPr>
              <w:jc w:val="right"/>
              <w:ind w:right="26"/>
              <w:spacing w:after="0"/>
              <w:rPr>
                <w:sz w:val="20"/>
                <w:szCs w:val="20"/>
                <w:color w:val="auto"/>
              </w:rPr>
            </w:pPr>
            <w:r>
              <w:rPr>
                <w:rFonts w:ascii="Arial" w:cs="Arial" w:eastAsia="Arial" w:hAnsi="Arial"/>
                <w:sz w:val="11"/>
                <w:szCs w:val="11"/>
                <w:b w:val="1"/>
                <w:bCs w:val="1"/>
                <w:color w:val="auto"/>
              </w:rPr>
              <w:t>TOTAL</w:t>
            </w:r>
          </w:p>
        </w:tc>
        <w:tc>
          <w:tcPr>
            <w:tcW w:w="700" w:type="dxa"/>
            <w:vAlign w:val="bottom"/>
          </w:tcPr>
          <w:p>
            <w:pPr>
              <w:jc w:val="right"/>
              <w:ind w:right="26"/>
              <w:spacing w:after="0"/>
              <w:rPr>
                <w:sz w:val="20"/>
                <w:szCs w:val="20"/>
                <w:color w:val="auto"/>
              </w:rPr>
            </w:pPr>
            <w:r>
              <w:rPr>
                <w:rFonts w:ascii="Arial" w:cs="Arial" w:eastAsia="Arial" w:hAnsi="Arial"/>
                <w:sz w:val="11"/>
                <w:szCs w:val="11"/>
                <w:b w:val="1"/>
                <w:bCs w:val="1"/>
                <w:color w:val="auto"/>
              </w:rPr>
              <w:t>VALUES</w:t>
            </w:r>
          </w:p>
        </w:tc>
        <w:tc>
          <w:tcPr>
            <w:tcW w:w="700" w:type="dxa"/>
            <w:vAlign w:val="bottom"/>
            <w:gridSpan w:val="2"/>
          </w:tcPr>
          <w:p>
            <w:pPr>
              <w:ind w:left="200"/>
              <w:spacing w:after="0"/>
              <w:rPr>
                <w:sz w:val="20"/>
                <w:szCs w:val="20"/>
                <w:color w:val="auto"/>
              </w:rPr>
            </w:pPr>
            <w:r>
              <w:rPr>
                <w:rFonts w:ascii="Arial" w:cs="Arial" w:eastAsia="Arial" w:hAnsi="Arial"/>
                <w:sz w:val="11"/>
                <w:szCs w:val="11"/>
                <w:b w:val="1"/>
                <w:bCs w:val="1"/>
                <w:color w:val="auto"/>
              </w:rPr>
              <w:t>VALUES</w:t>
            </w:r>
          </w:p>
        </w:tc>
        <w:tc>
          <w:tcPr>
            <w:tcW w:w="780" w:type="dxa"/>
            <w:vAlign w:val="bottom"/>
          </w:tcPr>
          <w:p>
            <w:pPr>
              <w:jc w:val="right"/>
              <w:ind w:right="26"/>
              <w:spacing w:after="0"/>
              <w:rPr>
                <w:sz w:val="20"/>
                <w:szCs w:val="20"/>
                <w:color w:val="auto"/>
              </w:rPr>
            </w:pPr>
            <w:r>
              <w:rPr>
                <w:rFonts w:ascii="Arial" w:cs="Arial" w:eastAsia="Arial" w:hAnsi="Arial"/>
                <w:sz w:val="11"/>
                <w:szCs w:val="11"/>
                <w:b w:val="1"/>
                <w:bCs w:val="1"/>
                <w:color w:val="auto"/>
              </w:rPr>
              <w:t>AS OF FYE</w:t>
            </w:r>
          </w:p>
        </w:tc>
        <w:tc>
          <w:tcPr>
            <w:tcW w:w="800" w:type="dxa"/>
            <w:vAlign w:val="bottom"/>
            <w:gridSpan w:val="2"/>
          </w:tcPr>
          <w:p>
            <w:pPr>
              <w:jc w:val="right"/>
              <w:ind w:right="6"/>
              <w:spacing w:after="0"/>
              <w:rPr>
                <w:sz w:val="20"/>
                <w:szCs w:val="20"/>
                <w:color w:val="auto"/>
              </w:rPr>
            </w:pPr>
            <w:r>
              <w:rPr>
                <w:rFonts w:ascii="Arial" w:cs="Arial" w:eastAsia="Arial" w:hAnsi="Arial"/>
                <w:sz w:val="11"/>
                <w:szCs w:val="11"/>
                <w:b w:val="1"/>
                <w:bCs w:val="1"/>
                <w:color w:val="auto"/>
              </w:rPr>
              <w:t>AS OF FYE</w:t>
            </w:r>
          </w:p>
        </w:tc>
        <w:tc>
          <w:tcPr>
            <w:tcW w:w="40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FY</w:t>
            </w:r>
          </w:p>
        </w:tc>
        <w:tc>
          <w:tcPr>
            <w:tcW w:w="420" w:type="dxa"/>
            <w:vAlign w:val="bottom"/>
          </w:tcPr>
          <w:p>
            <w:pPr>
              <w:spacing w:after="0"/>
              <w:rPr>
                <w:sz w:val="12"/>
                <w:szCs w:val="12"/>
                <w:color w:val="auto"/>
              </w:rPr>
            </w:pPr>
          </w:p>
        </w:tc>
        <w:tc>
          <w:tcPr>
            <w:tcW w:w="500" w:type="dxa"/>
            <w:vAlign w:val="bottom"/>
          </w:tcPr>
          <w:p>
            <w:pPr>
              <w:jc w:val="right"/>
              <w:ind w:right="6"/>
              <w:spacing w:after="0"/>
              <w:rPr>
                <w:sz w:val="20"/>
                <w:szCs w:val="20"/>
                <w:color w:val="auto"/>
              </w:rPr>
            </w:pPr>
            <w:r>
              <w:rPr>
                <w:rFonts w:ascii="Arial" w:cs="Arial" w:eastAsia="Arial" w:hAnsi="Arial"/>
                <w:sz w:val="11"/>
                <w:szCs w:val="11"/>
                <w:b w:val="1"/>
                <w:bCs w:val="1"/>
                <w:color w:val="auto"/>
              </w:rPr>
              <w:t>FY</w:t>
            </w:r>
          </w:p>
        </w:tc>
        <w:tc>
          <w:tcPr>
            <w:tcW w:w="360" w:type="dxa"/>
            <w:vAlign w:val="bottom"/>
          </w:tcPr>
          <w:p>
            <w:pPr>
              <w:spacing w:after="0"/>
              <w:rPr>
                <w:sz w:val="12"/>
                <w:szCs w:val="12"/>
                <w:color w:val="auto"/>
              </w:rPr>
            </w:pPr>
          </w:p>
        </w:tc>
        <w:tc>
          <w:tcPr>
            <w:tcW w:w="440" w:type="dxa"/>
            <w:vAlign w:val="bottom"/>
          </w:tcPr>
          <w:p>
            <w:pPr>
              <w:jc w:val="right"/>
              <w:ind w:right="26"/>
              <w:spacing w:after="0"/>
              <w:rPr>
                <w:sz w:val="20"/>
                <w:szCs w:val="20"/>
                <w:color w:val="auto"/>
              </w:rPr>
            </w:pPr>
            <w:r>
              <w:rPr>
                <w:rFonts w:ascii="Arial" w:cs="Arial" w:eastAsia="Arial" w:hAnsi="Arial"/>
                <w:sz w:val="11"/>
                <w:szCs w:val="11"/>
                <w:b w:val="1"/>
                <w:bCs w:val="1"/>
                <w:color w:val="auto"/>
              </w:rPr>
              <w:t>FY</w:t>
            </w:r>
          </w:p>
        </w:tc>
        <w:tc>
          <w:tcPr>
            <w:tcW w:w="480" w:type="dxa"/>
            <w:vAlign w:val="bottom"/>
          </w:tcPr>
          <w:p>
            <w:pPr>
              <w:spacing w:after="0"/>
              <w:rPr>
                <w:sz w:val="12"/>
                <w:szCs w:val="12"/>
                <w:color w:val="auto"/>
              </w:rPr>
            </w:pPr>
          </w:p>
        </w:tc>
        <w:tc>
          <w:tcPr>
            <w:tcW w:w="480" w:type="dxa"/>
            <w:vAlign w:val="bottom"/>
          </w:tcPr>
          <w:p>
            <w:pPr>
              <w:jc w:val="right"/>
              <w:ind w:right="26"/>
              <w:spacing w:after="0"/>
              <w:rPr>
                <w:sz w:val="20"/>
                <w:szCs w:val="20"/>
                <w:color w:val="auto"/>
              </w:rPr>
            </w:pPr>
            <w:r>
              <w:rPr>
                <w:rFonts w:ascii="Arial" w:cs="Arial" w:eastAsia="Arial" w:hAnsi="Arial"/>
                <w:sz w:val="11"/>
                <w:szCs w:val="11"/>
                <w:b w:val="1"/>
                <w:bCs w:val="1"/>
                <w:color w:val="auto"/>
              </w:rPr>
              <w:t>FY</w:t>
            </w:r>
          </w:p>
        </w:tc>
        <w:tc>
          <w:tcPr>
            <w:tcW w:w="540" w:type="dxa"/>
            <w:vAlign w:val="bottom"/>
          </w:tcPr>
          <w:p>
            <w:pPr>
              <w:spacing w:after="0"/>
              <w:rPr>
                <w:sz w:val="12"/>
                <w:szCs w:val="12"/>
                <w:color w:val="auto"/>
              </w:rPr>
            </w:pPr>
          </w:p>
        </w:tc>
        <w:tc>
          <w:tcPr>
            <w:tcW w:w="560" w:type="dxa"/>
            <w:vAlign w:val="bottom"/>
          </w:tcPr>
          <w:p>
            <w:pPr>
              <w:jc w:val="right"/>
              <w:ind w:right="66"/>
              <w:spacing w:after="0"/>
              <w:rPr>
                <w:sz w:val="20"/>
                <w:szCs w:val="20"/>
                <w:color w:val="auto"/>
              </w:rPr>
            </w:pPr>
            <w:r>
              <w:rPr>
                <w:rFonts w:ascii="Arial" w:cs="Arial" w:eastAsia="Arial" w:hAnsi="Arial"/>
                <w:sz w:val="11"/>
                <w:szCs w:val="11"/>
                <w:b w:val="1"/>
                <w:bCs w:val="1"/>
                <w:color w:val="auto"/>
              </w:rPr>
              <w:t>NEOS</w:t>
            </w:r>
          </w:p>
        </w:tc>
      </w:tr>
      <w:tr>
        <w:trPr>
          <w:trHeight w:val="41"/>
        </w:trPr>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210"/>
        </w:trPr>
        <w:tc>
          <w:tcPr>
            <w:tcW w:w="58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1"/>
                <w:szCs w:val="11"/>
                <w:b w:val="1"/>
                <w:bCs w:val="1"/>
                <w:color w:val="auto"/>
              </w:rPr>
              <w:t>FY26</w:t>
            </w:r>
          </w:p>
        </w:tc>
        <w:tc>
          <w:tcPr>
            <w:tcW w:w="840" w:type="dxa"/>
            <w:vAlign w:val="bottom"/>
            <w:tcBorders>
              <w:bottom w:val="single" w:sz="8" w:color="E6E6E6"/>
            </w:tcBorders>
            <w:shd w:val="clear" w:color="auto" w:fill="E6E6E6"/>
          </w:tcPr>
          <w:p>
            <w:pPr>
              <w:jc w:val="right"/>
              <w:ind w:right="26"/>
              <w:spacing w:after="0"/>
              <w:rPr>
                <w:sz w:val="20"/>
                <w:szCs w:val="20"/>
                <w:color w:val="auto"/>
              </w:rPr>
            </w:pPr>
            <w:r>
              <w:rPr>
                <w:rFonts w:ascii="Arial" w:cs="Arial" w:eastAsia="Arial" w:hAnsi="Arial"/>
                <w:sz w:val="11"/>
                <w:szCs w:val="11"/>
                <w:color w:val="auto"/>
              </w:rPr>
              <w:t>$1,310,512</w:t>
            </w:r>
          </w:p>
        </w:tc>
        <w:tc>
          <w:tcPr>
            <w:tcW w:w="700" w:type="dxa"/>
            <w:vAlign w:val="bottom"/>
            <w:tcBorders>
              <w:bottom w:val="single" w:sz="8" w:color="E6E6E6"/>
            </w:tcBorders>
            <w:shd w:val="clear" w:color="auto" w:fill="E6E6E6"/>
          </w:tcPr>
          <w:p>
            <w:pPr>
              <w:jc w:val="right"/>
              <w:ind w:right="26"/>
              <w:spacing w:after="0"/>
              <w:rPr>
                <w:sz w:val="20"/>
                <w:szCs w:val="20"/>
                <w:color w:val="auto"/>
              </w:rPr>
            </w:pPr>
            <w:r>
              <w:rPr>
                <w:rFonts w:ascii="Arial" w:cs="Arial" w:eastAsia="Arial" w:hAnsi="Arial"/>
                <w:sz w:val="11"/>
                <w:szCs w:val="11"/>
                <w:color w:val="auto"/>
              </w:rPr>
              <w:t>$361,343</w:t>
            </w:r>
          </w:p>
        </w:tc>
        <w:tc>
          <w:tcPr>
            <w:tcW w:w="260" w:type="dxa"/>
            <w:vAlign w:val="bottom"/>
            <w:tcBorders>
              <w:bottom w:val="single" w:sz="8" w:color="E6E6E6"/>
            </w:tcBorders>
            <w:shd w:val="clear" w:color="auto" w:fill="E6E6E6"/>
          </w:tcPr>
          <w:p>
            <w:pPr>
              <w:spacing w:after="0"/>
              <w:rPr>
                <w:sz w:val="18"/>
                <w:szCs w:val="18"/>
                <w:color w:val="auto"/>
              </w:rPr>
            </w:pPr>
          </w:p>
        </w:tc>
        <w:tc>
          <w:tcPr>
            <w:tcW w:w="440" w:type="dxa"/>
            <w:vAlign w:val="bottom"/>
            <w:tcBorders>
              <w:bottom w:val="single" w:sz="8" w:color="E6E6E6"/>
            </w:tcBorders>
            <w:shd w:val="clear" w:color="auto" w:fill="E6E6E6"/>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E6E6E6"/>
            </w:tcBorders>
            <w:shd w:val="clear" w:color="auto" w:fill="E6E6E6"/>
          </w:tcPr>
          <w:p>
            <w:pPr>
              <w:jc w:val="right"/>
              <w:ind w:right="26"/>
              <w:spacing w:after="0"/>
              <w:rPr>
                <w:sz w:val="20"/>
                <w:szCs w:val="20"/>
                <w:color w:val="auto"/>
              </w:rPr>
            </w:pPr>
            <w:r>
              <w:rPr>
                <w:rFonts w:ascii="Arial" w:cs="Arial" w:eastAsia="Arial" w:hAnsi="Arial"/>
                <w:sz w:val="11"/>
                <w:szCs w:val="11"/>
                <w:color w:val="auto"/>
              </w:rPr>
              <w:t>$611,627</w:t>
            </w:r>
          </w:p>
        </w:tc>
        <w:tc>
          <w:tcPr>
            <w:tcW w:w="480" w:type="dxa"/>
            <w:vAlign w:val="bottom"/>
            <w:tcBorders>
              <w:bottom w:val="single" w:sz="8" w:color="E6E6E6"/>
            </w:tcBorders>
            <w:shd w:val="clear" w:color="auto" w:fill="E6E6E6"/>
          </w:tcPr>
          <w:p>
            <w:pPr>
              <w:spacing w:after="0"/>
              <w:rPr>
                <w:sz w:val="18"/>
                <w:szCs w:val="18"/>
                <w:color w:val="auto"/>
              </w:rPr>
            </w:pPr>
          </w:p>
        </w:tc>
        <w:tc>
          <w:tcPr>
            <w:tcW w:w="320" w:type="dxa"/>
            <w:vAlign w:val="bottom"/>
            <w:tcBorders>
              <w:bottom w:val="single" w:sz="8" w:color="E6E6E6"/>
            </w:tcBorders>
            <w:shd w:val="clear" w:color="auto" w:fill="E6E6E6"/>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E6E6E6"/>
            </w:tcBorders>
            <w:shd w:val="clear" w:color="auto" w:fill="E6E6E6"/>
          </w:tcPr>
          <w:p>
            <w:pPr>
              <w:jc w:val="right"/>
              <w:ind w:right="6"/>
              <w:spacing w:after="0"/>
              <w:rPr>
                <w:sz w:val="20"/>
                <w:szCs w:val="20"/>
                <w:color w:val="auto"/>
              </w:rPr>
            </w:pPr>
            <w:r>
              <w:rPr>
                <w:rFonts w:ascii="Arial" w:cs="Arial" w:eastAsia="Arial" w:hAnsi="Arial"/>
                <w:sz w:val="11"/>
                <w:szCs w:val="11"/>
                <w:color w:val="auto"/>
              </w:rPr>
              <w:t>146,684</w:t>
            </w:r>
          </w:p>
        </w:tc>
        <w:tc>
          <w:tcPr>
            <w:tcW w:w="420" w:type="dxa"/>
            <w:vAlign w:val="bottom"/>
            <w:tcBorders>
              <w:bottom w:val="single" w:sz="8" w:color="E6E6E6"/>
            </w:tcBorders>
            <w:shd w:val="clear" w:color="auto" w:fill="E6E6E6"/>
          </w:tcPr>
          <w:p>
            <w:pPr>
              <w:spacing w:after="0"/>
              <w:rPr>
                <w:sz w:val="18"/>
                <w:szCs w:val="18"/>
                <w:color w:val="auto"/>
              </w:rPr>
            </w:pPr>
          </w:p>
        </w:tc>
        <w:tc>
          <w:tcPr>
            <w:tcW w:w="500" w:type="dxa"/>
            <w:vAlign w:val="bottom"/>
            <w:tcBorders>
              <w:bottom w:val="single" w:sz="8" w:color="E6E6E6"/>
            </w:tcBorders>
            <w:shd w:val="clear" w:color="auto" w:fill="E6E6E6"/>
          </w:tcPr>
          <w:p>
            <w:pPr>
              <w:jc w:val="right"/>
              <w:ind w:right="6"/>
              <w:spacing w:after="0"/>
              <w:rPr>
                <w:sz w:val="20"/>
                <w:szCs w:val="20"/>
                <w:color w:val="auto"/>
              </w:rPr>
            </w:pPr>
            <w:r>
              <w:rPr>
                <w:rFonts w:ascii="Arial" w:cs="Arial" w:eastAsia="Arial" w:hAnsi="Arial"/>
                <w:sz w:val="11"/>
                <w:szCs w:val="11"/>
                <w:color w:val="auto"/>
              </w:rPr>
              <w:t>—</w:t>
            </w:r>
          </w:p>
        </w:tc>
        <w:tc>
          <w:tcPr>
            <w:tcW w:w="36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E6E6E6"/>
            </w:tcBorders>
            <w:shd w:val="clear" w:color="auto" w:fill="E6E6E6"/>
          </w:tcPr>
          <w:p>
            <w:pPr>
              <w:jc w:val="right"/>
              <w:ind w:right="26"/>
              <w:spacing w:after="0"/>
              <w:rPr>
                <w:sz w:val="20"/>
                <w:szCs w:val="20"/>
                <w:color w:val="auto"/>
              </w:rPr>
            </w:pPr>
            <w:r>
              <w:rPr>
                <w:rFonts w:ascii="Arial" w:cs="Arial" w:eastAsia="Arial" w:hAnsi="Arial"/>
                <w:sz w:val="11"/>
                <w:szCs w:val="11"/>
                <w:color w:val="auto"/>
                <w:w w:val="97"/>
              </w:rPr>
              <w:t>(7,829)</w:t>
            </w:r>
          </w:p>
        </w:tc>
        <w:tc>
          <w:tcPr>
            <w:tcW w:w="480" w:type="dxa"/>
            <w:vAlign w:val="bottom"/>
            <w:tcBorders>
              <w:bottom w:val="single" w:sz="8" w:color="E6E6E6"/>
            </w:tcBorders>
            <w:shd w:val="clear" w:color="auto" w:fill="E6E6E6"/>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Borders>
              <w:bottom w:val="single" w:sz="8" w:color="E6E6E6"/>
            </w:tcBorders>
            <w:shd w:val="clear" w:color="auto" w:fill="E6E6E6"/>
          </w:tcPr>
          <w:p>
            <w:pPr>
              <w:jc w:val="right"/>
              <w:ind w:right="26"/>
              <w:spacing w:after="0"/>
              <w:rPr>
                <w:sz w:val="20"/>
                <w:szCs w:val="20"/>
                <w:color w:val="auto"/>
              </w:rPr>
            </w:pPr>
            <w:r>
              <w:rPr>
                <w:rFonts w:ascii="Arial" w:cs="Arial" w:eastAsia="Arial" w:hAnsi="Arial"/>
                <w:sz w:val="11"/>
                <w:szCs w:val="11"/>
                <w:color w:val="auto"/>
              </w:rPr>
              <w:t>(8,864)</w:t>
            </w:r>
          </w:p>
        </w:tc>
        <w:tc>
          <w:tcPr>
            <w:tcW w:w="1100" w:type="dxa"/>
            <w:vAlign w:val="bottom"/>
            <w:tcBorders>
              <w:bottom w:val="single" w:sz="8" w:color="E6E6E6"/>
            </w:tcBorders>
            <w:gridSpan w:val="2"/>
            <w:shd w:val="clear" w:color="auto" w:fill="E6E6E6"/>
          </w:tcPr>
          <w:p>
            <w:pPr>
              <w:jc w:val="right"/>
              <w:ind w:right="66"/>
              <w:spacing w:after="0"/>
              <w:rPr>
                <w:sz w:val="20"/>
                <w:szCs w:val="20"/>
                <w:color w:val="auto"/>
              </w:rPr>
            </w:pPr>
            <w:r>
              <w:rPr>
                <w:rFonts w:ascii="Arial" w:cs="Arial" w:eastAsia="Arial" w:hAnsi="Arial"/>
                <w:sz w:val="11"/>
                <w:szCs w:val="11"/>
                <w:color w:val="auto"/>
              </w:rPr>
              <w:t>$1,690,787</w:t>
            </w:r>
          </w:p>
        </w:tc>
      </w:tr>
      <w:tr>
        <w:trPr>
          <w:trHeight w:val="188"/>
        </w:trPr>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FY25</w:t>
            </w: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  987,238</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$359,043</w:t>
            </w:r>
          </w:p>
        </w:tc>
        <w:tc>
          <w:tcPr>
            <w:tcW w:w="260" w:type="dxa"/>
            <w:vAlign w:val="bottom"/>
          </w:tcPr>
          <w:p>
            <w:pPr>
              <w:ind w:left="200"/>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$247,116</w:t>
            </w:r>
          </w:p>
        </w:tc>
        <w:tc>
          <w:tcPr>
            <w:tcW w:w="480" w:type="dxa"/>
            <w:vAlign w:val="bottom"/>
          </w:tcPr>
          <w:p>
            <w:pPr>
              <w:jc w:val="right"/>
              <w:ind w:right="66"/>
              <w:spacing w:after="0"/>
              <w:rPr>
                <w:sz w:val="20"/>
                <w:szCs w:val="20"/>
                <w:color w:val="auto"/>
              </w:rPr>
            </w:pPr>
            <w:r>
              <w:rPr>
                <w:rFonts w:ascii="Arial" w:cs="Arial" w:eastAsia="Arial" w:hAnsi="Arial"/>
                <w:sz w:val="11"/>
                <w:szCs w:val="11"/>
                <w:color w:val="auto"/>
              </w:rPr>
              <w:t>$</w:t>
            </w:r>
          </w:p>
        </w:tc>
        <w:tc>
          <w:tcPr>
            <w:tcW w:w="32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ind w:right="6"/>
              <w:spacing w:after="0"/>
              <w:rPr>
                <w:sz w:val="20"/>
                <w:szCs w:val="20"/>
                <w:color w:val="auto"/>
              </w:rPr>
            </w:pPr>
            <w:r>
              <w:rPr>
                <w:rFonts w:ascii="Arial" w:cs="Arial" w:eastAsia="Arial" w:hAnsi="Arial"/>
                <w:sz w:val="11"/>
                <w:szCs w:val="11"/>
                <w:color w:val="auto"/>
              </w:rPr>
              <w:t>$(141,927)</w:t>
            </w:r>
          </w:p>
        </w:tc>
        <w:tc>
          <w:tcPr>
            <w:tcW w:w="42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(42,920)</w:t>
            </w: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1,512</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206</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692,182</w:t>
            </w:r>
          </w:p>
        </w:tc>
      </w:tr>
      <w:tr>
        <w:trPr>
          <w:trHeight w:val="41"/>
        </w:trPr>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96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210"/>
        </w:trPr>
        <w:tc>
          <w:tcPr>
            <w:tcW w:w="580" w:type="dxa"/>
            <w:vAlign w:val="bottom"/>
            <w:tcBorders>
              <w:bottom w:val="single" w:sz="8" w:color="E6E6E6"/>
            </w:tcBorders>
            <w:shd w:val="clear" w:color="auto" w:fill="E6E6E6"/>
          </w:tcPr>
          <w:p>
            <w:pPr>
              <w:ind w:left="180"/>
              <w:spacing w:after="0"/>
              <w:rPr>
                <w:sz w:val="20"/>
                <w:szCs w:val="20"/>
                <w:color w:val="auto"/>
              </w:rPr>
            </w:pPr>
            <w:r>
              <w:rPr>
                <w:rFonts w:ascii="Arial" w:cs="Arial" w:eastAsia="Arial" w:hAnsi="Arial"/>
                <w:sz w:val="11"/>
                <w:szCs w:val="11"/>
                <w:b w:val="1"/>
                <w:bCs w:val="1"/>
                <w:color w:val="auto"/>
              </w:rPr>
              <w:t>FY24</w:t>
            </w:r>
          </w:p>
        </w:tc>
        <w:tc>
          <w:tcPr>
            <w:tcW w:w="840" w:type="dxa"/>
            <w:vAlign w:val="bottom"/>
            <w:tcBorders>
              <w:bottom w:val="single" w:sz="8" w:color="E6E6E6"/>
            </w:tcBorders>
            <w:shd w:val="clear" w:color="auto" w:fill="E6E6E6"/>
          </w:tcPr>
          <w:p>
            <w:pPr>
              <w:jc w:val="right"/>
              <w:ind w:right="26"/>
              <w:spacing w:after="0"/>
              <w:rPr>
                <w:sz w:val="20"/>
                <w:szCs w:val="20"/>
                <w:color w:val="auto"/>
              </w:rPr>
            </w:pPr>
            <w:r>
              <w:rPr>
                <w:rFonts w:ascii="Arial" w:cs="Arial" w:eastAsia="Arial" w:hAnsi="Arial"/>
                <w:sz w:val="11"/>
                <w:szCs w:val="11"/>
                <w:color w:val="auto"/>
              </w:rPr>
              <w:t>$1,040,162</w:t>
            </w:r>
          </w:p>
        </w:tc>
        <w:tc>
          <w:tcPr>
            <w:tcW w:w="700" w:type="dxa"/>
            <w:vAlign w:val="bottom"/>
            <w:tcBorders>
              <w:bottom w:val="single" w:sz="8" w:color="E6E6E6"/>
            </w:tcBorders>
            <w:shd w:val="clear" w:color="auto" w:fill="E6E6E6"/>
          </w:tcPr>
          <w:p>
            <w:pPr>
              <w:jc w:val="right"/>
              <w:ind w:right="26"/>
              <w:spacing w:after="0"/>
              <w:rPr>
                <w:sz w:val="20"/>
                <w:szCs w:val="20"/>
                <w:color w:val="auto"/>
              </w:rPr>
            </w:pPr>
            <w:r>
              <w:rPr>
                <w:rFonts w:ascii="Arial" w:cs="Arial" w:eastAsia="Arial" w:hAnsi="Arial"/>
                <w:sz w:val="11"/>
                <w:szCs w:val="11"/>
                <w:color w:val="auto"/>
              </w:rPr>
              <w:t>$390,619</w:t>
            </w:r>
          </w:p>
        </w:tc>
        <w:tc>
          <w:tcPr>
            <w:tcW w:w="260" w:type="dxa"/>
            <w:vAlign w:val="bottom"/>
            <w:tcBorders>
              <w:bottom w:val="single" w:sz="8" w:color="E6E6E6"/>
            </w:tcBorders>
            <w:shd w:val="clear" w:color="auto" w:fill="E6E6E6"/>
          </w:tcPr>
          <w:p>
            <w:pPr>
              <w:ind w:left="20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E6E6E6"/>
            </w:tcBorders>
            <w:shd w:val="clear" w:color="auto" w:fill="E6E6E6"/>
          </w:tcPr>
          <w:p>
            <w:pPr>
              <w:jc w:val="right"/>
              <w:ind w:right="6"/>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E6E6E6"/>
            </w:tcBorders>
            <w:shd w:val="clear" w:color="auto" w:fill="E6E6E6"/>
          </w:tcPr>
          <w:p>
            <w:pPr>
              <w:jc w:val="right"/>
              <w:ind w:right="26"/>
              <w:spacing w:after="0"/>
              <w:rPr>
                <w:sz w:val="20"/>
                <w:szCs w:val="20"/>
                <w:color w:val="auto"/>
              </w:rPr>
            </w:pPr>
            <w:r>
              <w:rPr>
                <w:rFonts w:ascii="Arial" w:cs="Arial" w:eastAsia="Arial" w:hAnsi="Arial"/>
                <w:sz w:val="11"/>
                <w:szCs w:val="11"/>
                <w:color w:val="auto"/>
              </w:rPr>
              <w:t>$376,557</w:t>
            </w:r>
          </w:p>
        </w:tc>
        <w:tc>
          <w:tcPr>
            <w:tcW w:w="480" w:type="dxa"/>
            <w:vAlign w:val="bottom"/>
            <w:tcBorders>
              <w:bottom w:val="single" w:sz="8" w:color="E6E6E6"/>
            </w:tcBorders>
            <w:shd w:val="clear" w:color="auto" w:fill="E6E6E6"/>
          </w:tcPr>
          <w:p>
            <w:pPr>
              <w:jc w:val="right"/>
              <w:ind w:right="66"/>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E6E6E6"/>
            </w:tcBorders>
            <w:shd w:val="clear" w:color="auto" w:fill="E6E6E6"/>
          </w:tcPr>
          <w:p>
            <w:pPr>
              <w:jc w:val="right"/>
              <w:ind w:right="6"/>
              <w:spacing w:after="0"/>
              <w:rPr>
                <w:sz w:val="20"/>
                <w:szCs w:val="20"/>
                <w:color w:val="auto"/>
              </w:rPr>
            </w:pPr>
            <w:r>
              <w:rPr>
                <w:rFonts w:ascii="Arial" w:cs="Arial" w:eastAsia="Arial" w:hAnsi="Arial"/>
                <w:sz w:val="11"/>
                <w:szCs w:val="11"/>
                <w:color w:val="auto"/>
              </w:rPr>
              <w:t>—</w:t>
            </w:r>
          </w:p>
        </w:tc>
        <w:tc>
          <w:tcPr>
            <w:tcW w:w="40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E6E6E6"/>
            </w:tcBorders>
            <w:shd w:val="clear" w:color="auto" w:fill="E6E6E6"/>
          </w:tcPr>
          <w:p>
            <w:pPr>
              <w:jc w:val="right"/>
              <w:ind w:right="6"/>
              <w:spacing w:after="0"/>
              <w:rPr>
                <w:sz w:val="20"/>
                <w:szCs w:val="20"/>
                <w:color w:val="auto"/>
              </w:rPr>
            </w:pPr>
            <w:r>
              <w:rPr>
                <w:rFonts w:ascii="Arial" w:cs="Arial" w:eastAsia="Arial" w:hAnsi="Arial"/>
                <w:sz w:val="11"/>
                <w:szCs w:val="11"/>
                <w:color w:val="auto"/>
              </w:rPr>
              <w:t>(57,905)</w:t>
            </w:r>
          </w:p>
        </w:tc>
        <w:tc>
          <w:tcPr>
            <w:tcW w:w="42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1"/>
                <w:szCs w:val="11"/>
                <w:color w:val="auto"/>
              </w:rPr>
              <w:t>$</w:t>
            </w:r>
          </w:p>
        </w:tc>
        <w:tc>
          <w:tcPr>
            <w:tcW w:w="500" w:type="dxa"/>
            <w:vAlign w:val="bottom"/>
            <w:tcBorders>
              <w:bottom w:val="single" w:sz="8" w:color="E6E6E6"/>
            </w:tcBorders>
            <w:shd w:val="clear" w:color="auto" w:fill="E6E6E6"/>
          </w:tcPr>
          <w:p>
            <w:pPr>
              <w:jc w:val="right"/>
              <w:ind w:right="6"/>
              <w:spacing w:after="0"/>
              <w:rPr>
                <w:sz w:val="20"/>
                <w:szCs w:val="20"/>
                <w:color w:val="auto"/>
              </w:rPr>
            </w:pPr>
            <w:r>
              <w:rPr>
                <w:rFonts w:ascii="Arial" w:cs="Arial" w:eastAsia="Arial" w:hAnsi="Arial"/>
                <w:sz w:val="11"/>
                <w:szCs w:val="11"/>
                <w:color w:val="auto"/>
              </w:rPr>
              <w:t>(85,471)</w:t>
            </w:r>
          </w:p>
        </w:tc>
        <w:tc>
          <w:tcPr>
            <w:tcW w:w="800" w:type="dxa"/>
            <w:vAlign w:val="bottom"/>
            <w:tcBorders>
              <w:bottom w:val="single" w:sz="8" w:color="E6E6E6"/>
            </w:tcBorders>
            <w:gridSpan w:val="2"/>
            <w:shd w:val="clear" w:color="auto" w:fill="E6E6E6"/>
          </w:tcPr>
          <w:p>
            <w:pPr>
              <w:jc w:val="right"/>
              <w:ind w:right="26"/>
              <w:spacing w:after="0"/>
              <w:rPr>
                <w:sz w:val="20"/>
                <w:szCs w:val="20"/>
                <w:color w:val="auto"/>
              </w:rPr>
            </w:pPr>
            <w:r>
              <w:rPr>
                <w:rFonts w:ascii="Arial" w:cs="Arial" w:eastAsia="Arial" w:hAnsi="Arial"/>
                <w:sz w:val="11"/>
                <w:szCs w:val="11"/>
                <w:color w:val="auto"/>
              </w:rPr>
              <w:t>$(37,120)</w:t>
            </w:r>
          </w:p>
        </w:tc>
        <w:tc>
          <w:tcPr>
            <w:tcW w:w="960" w:type="dxa"/>
            <w:vAlign w:val="bottom"/>
            <w:tcBorders>
              <w:bottom w:val="single" w:sz="8" w:color="E6E6E6"/>
            </w:tcBorders>
            <w:gridSpan w:val="2"/>
            <w:shd w:val="clear" w:color="auto" w:fill="E6E6E6"/>
          </w:tcPr>
          <w:p>
            <w:pPr>
              <w:jc w:val="right"/>
              <w:ind w:right="26"/>
              <w:spacing w:after="0"/>
              <w:rPr>
                <w:sz w:val="20"/>
                <w:szCs w:val="20"/>
                <w:color w:val="auto"/>
              </w:rPr>
            </w:pPr>
            <w:r>
              <w:rPr>
                <w:rFonts w:ascii="Arial" w:cs="Arial" w:eastAsia="Arial" w:hAnsi="Arial"/>
                <w:sz w:val="11"/>
                <w:szCs w:val="11"/>
                <w:color w:val="auto"/>
              </w:rPr>
              <w:t>$(380,430)</w:t>
            </w:r>
          </w:p>
        </w:tc>
        <w:tc>
          <w:tcPr>
            <w:tcW w:w="540" w:type="dxa"/>
            <w:vAlign w:val="bottom"/>
            <w:tcBorders>
              <w:bottom w:val="single" w:sz="8" w:color="E6E6E6"/>
            </w:tcBorders>
            <w:shd w:val="clear" w:color="auto" w:fill="E6E6E6"/>
          </w:tcPr>
          <w:p>
            <w:pPr>
              <w:jc w:val="right"/>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E6E6E6"/>
            </w:tcBorders>
            <w:shd w:val="clear" w:color="auto" w:fill="E6E6E6"/>
          </w:tcPr>
          <w:p>
            <w:pPr>
              <w:jc w:val="right"/>
              <w:ind w:right="66"/>
              <w:spacing w:after="0"/>
              <w:rPr>
                <w:sz w:val="20"/>
                <w:szCs w:val="20"/>
                <w:color w:val="auto"/>
              </w:rPr>
            </w:pPr>
            <w:r>
              <w:rPr>
                <w:rFonts w:ascii="Arial" w:cs="Arial" w:eastAsia="Arial" w:hAnsi="Arial"/>
                <w:sz w:val="11"/>
                <w:szCs w:val="11"/>
                <w:color w:val="auto"/>
              </w:rPr>
              <w:t>465,174</w:t>
            </w:r>
          </w:p>
        </w:tc>
      </w:tr>
      <w:tr>
        <w:trPr>
          <w:trHeight w:val="188"/>
        </w:trPr>
        <w:tc>
          <w:tcPr>
            <w:tcW w:w="580" w:type="dxa"/>
            <w:vAlign w:val="bottom"/>
          </w:tcPr>
          <w:p>
            <w:pPr>
              <w:ind w:left="180"/>
              <w:spacing w:after="0"/>
              <w:rPr>
                <w:sz w:val="20"/>
                <w:szCs w:val="20"/>
                <w:color w:val="auto"/>
              </w:rPr>
            </w:pPr>
            <w:r>
              <w:rPr>
                <w:rFonts w:ascii="Arial" w:cs="Arial" w:eastAsia="Arial" w:hAnsi="Arial"/>
                <w:sz w:val="11"/>
                <w:szCs w:val="11"/>
                <w:b w:val="1"/>
                <w:bCs w:val="1"/>
                <w:color w:val="auto"/>
              </w:rPr>
              <w:t>FY23</w:t>
            </w:r>
          </w:p>
        </w:tc>
        <w:tc>
          <w:tcPr>
            <w:tcW w:w="840" w:type="dxa"/>
            <w:vAlign w:val="bottom"/>
          </w:tcPr>
          <w:p>
            <w:pPr>
              <w:jc w:val="right"/>
              <w:ind w:right="26"/>
              <w:spacing w:after="0"/>
              <w:rPr>
                <w:sz w:val="20"/>
                <w:szCs w:val="20"/>
                <w:color w:val="auto"/>
              </w:rPr>
            </w:pPr>
            <w:r>
              <w:rPr>
                <w:rFonts w:ascii="Arial" w:cs="Arial" w:eastAsia="Arial" w:hAnsi="Arial"/>
                <w:sz w:val="11"/>
                <w:szCs w:val="11"/>
                <w:color w:val="auto"/>
              </w:rPr>
              <w:t>$1,161,122</w:t>
            </w:r>
          </w:p>
        </w:tc>
        <w:tc>
          <w:tcPr>
            <w:tcW w:w="700" w:type="dxa"/>
            <w:vAlign w:val="bottom"/>
          </w:tcPr>
          <w:p>
            <w:pPr>
              <w:jc w:val="right"/>
              <w:ind w:right="26"/>
              <w:spacing w:after="0"/>
              <w:rPr>
                <w:sz w:val="20"/>
                <w:szCs w:val="20"/>
                <w:color w:val="auto"/>
              </w:rPr>
            </w:pPr>
            <w:r>
              <w:rPr>
                <w:rFonts w:ascii="Arial" w:cs="Arial" w:eastAsia="Arial" w:hAnsi="Arial"/>
                <w:sz w:val="11"/>
                <w:szCs w:val="11"/>
                <w:color w:val="auto"/>
              </w:rPr>
              <w:t>$156,944</w:t>
            </w:r>
          </w:p>
        </w:tc>
        <w:tc>
          <w:tcPr>
            <w:tcW w:w="700" w:type="dxa"/>
            <w:vAlign w:val="bottom"/>
            <w:gridSpan w:val="2"/>
          </w:tcPr>
          <w:p>
            <w:pPr>
              <w:jc w:val="right"/>
              <w:ind w:right="6"/>
              <w:spacing w:after="0"/>
              <w:rPr>
                <w:sz w:val="20"/>
                <w:szCs w:val="20"/>
                <w:color w:val="auto"/>
              </w:rPr>
            </w:pPr>
            <w:r>
              <w:rPr>
                <w:rFonts w:ascii="Arial" w:cs="Arial" w:eastAsia="Arial" w:hAnsi="Arial"/>
                <w:sz w:val="11"/>
                <w:szCs w:val="11"/>
                <w:color w:val="auto"/>
              </w:rPr>
              <w:t>$156,934</w:t>
            </w:r>
          </w:p>
        </w:tc>
        <w:tc>
          <w:tcPr>
            <w:tcW w:w="780" w:type="dxa"/>
            <w:vAlign w:val="bottom"/>
          </w:tcPr>
          <w:p>
            <w:pPr>
              <w:jc w:val="right"/>
              <w:ind w:right="26"/>
              <w:spacing w:after="0"/>
              <w:rPr>
                <w:sz w:val="20"/>
                <w:szCs w:val="20"/>
                <w:color w:val="auto"/>
              </w:rPr>
            </w:pPr>
            <w:r>
              <w:rPr>
                <w:rFonts w:ascii="Arial" w:cs="Arial" w:eastAsia="Arial" w:hAnsi="Arial"/>
                <w:sz w:val="11"/>
                <w:szCs w:val="11"/>
                <w:color w:val="auto"/>
              </w:rPr>
              <w:t>$145,887</w:t>
            </w:r>
          </w:p>
        </w:tc>
        <w:tc>
          <w:tcPr>
            <w:tcW w:w="800" w:type="dxa"/>
            <w:vAlign w:val="bottom"/>
            <w:gridSpan w:val="2"/>
          </w:tcPr>
          <w:p>
            <w:pPr>
              <w:jc w:val="right"/>
              <w:ind w:right="6"/>
              <w:spacing w:after="0"/>
              <w:rPr>
                <w:sz w:val="20"/>
                <w:szCs w:val="20"/>
                <w:color w:val="auto"/>
              </w:rPr>
            </w:pPr>
            <w:r>
              <w:rPr>
                <w:rFonts w:ascii="Arial" w:cs="Arial" w:eastAsia="Arial" w:hAnsi="Arial"/>
                <w:sz w:val="11"/>
                <w:szCs w:val="11"/>
                <w:color w:val="auto"/>
              </w:rPr>
              <w:t>$118,257</w:t>
            </w:r>
          </w:p>
        </w:tc>
        <w:tc>
          <w:tcPr>
            <w:tcW w:w="400" w:type="dxa"/>
            <w:vAlign w:val="bottom"/>
          </w:tcPr>
          <w:p>
            <w:pPr>
              <w:jc w:val="right"/>
              <w:spacing w:after="0"/>
              <w:rPr>
                <w:sz w:val="20"/>
                <w:szCs w:val="20"/>
                <w:color w:val="auto"/>
              </w:rPr>
            </w:pPr>
            <w:r>
              <w:rPr>
                <w:rFonts w:ascii="Arial" w:cs="Arial" w:eastAsia="Arial" w:hAnsi="Arial"/>
                <w:sz w:val="11"/>
                <w:szCs w:val="11"/>
                <w:color w:val="auto"/>
              </w:rPr>
              <w:t>$</w:t>
            </w:r>
          </w:p>
        </w:tc>
        <w:tc>
          <w:tcPr>
            <w:tcW w:w="500" w:type="dxa"/>
            <w:vAlign w:val="bottom"/>
          </w:tcPr>
          <w:p>
            <w:pPr>
              <w:jc w:val="right"/>
              <w:ind w:right="6"/>
              <w:spacing w:after="0"/>
              <w:rPr>
                <w:sz w:val="20"/>
                <w:szCs w:val="20"/>
                <w:color w:val="auto"/>
              </w:rPr>
            </w:pPr>
            <w:r>
              <w:rPr>
                <w:rFonts w:ascii="Arial" w:cs="Arial" w:eastAsia="Arial" w:hAnsi="Arial"/>
                <w:sz w:val="11"/>
                <w:szCs w:val="11"/>
                <w:color w:val="auto"/>
              </w:rPr>
              <w:t>(15,751)</w:t>
            </w:r>
          </w:p>
        </w:tc>
        <w:tc>
          <w:tcPr>
            <w:tcW w:w="920" w:type="dxa"/>
            <w:vAlign w:val="bottom"/>
            <w:gridSpan w:val="2"/>
          </w:tcPr>
          <w:p>
            <w:pPr>
              <w:jc w:val="right"/>
              <w:ind w:right="6"/>
              <w:spacing w:after="0"/>
              <w:rPr>
                <w:sz w:val="20"/>
                <w:szCs w:val="20"/>
                <w:color w:val="auto"/>
              </w:rPr>
            </w:pPr>
            <w:r>
              <w:rPr>
                <w:rFonts w:ascii="Arial" w:cs="Arial" w:eastAsia="Arial" w:hAnsi="Arial"/>
                <w:sz w:val="11"/>
                <w:szCs w:val="11"/>
                <w:color w:val="auto"/>
              </w:rPr>
              <w:t>$(157,243)</w:t>
            </w:r>
          </w:p>
        </w:tc>
        <w:tc>
          <w:tcPr>
            <w:tcW w:w="360" w:type="dxa"/>
            <w:vAlign w:val="bottom"/>
          </w:tcPr>
          <w:p>
            <w:pPr>
              <w:jc w:val="right"/>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26"/>
              <w:spacing w:after="0"/>
              <w:rPr>
                <w:sz w:val="20"/>
                <w:szCs w:val="20"/>
                <w:color w:val="auto"/>
              </w:rPr>
            </w:pPr>
            <w:r>
              <w:rPr>
                <w:rFonts w:ascii="Arial" w:cs="Arial" w:eastAsia="Arial" w:hAnsi="Arial"/>
                <w:sz w:val="11"/>
                <w:szCs w:val="11"/>
                <w:color w:val="auto"/>
              </w:rPr>
              <w:t>9,232</w:t>
            </w: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6"/>
              <w:spacing w:after="0"/>
              <w:rPr>
                <w:sz w:val="20"/>
                <w:szCs w:val="20"/>
                <w:color w:val="auto"/>
              </w:rPr>
            </w:pPr>
            <w:r>
              <w:rPr>
                <w:rFonts w:ascii="Arial" w:cs="Arial" w:eastAsia="Arial" w:hAnsi="Arial"/>
                <w:sz w:val="11"/>
                <w:szCs w:val="11"/>
                <w:color w:val="auto"/>
              </w:rPr>
              <w:t>947,625</w:t>
            </w:r>
          </w:p>
        </w:tc>
      </w:tr>
      <w:tr>
        <w:trPr>
          <w:trHeight w:val="41"/>
        </w:trPr>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4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0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r>
      <w:tr>
        <w:trPr>
          <w:trHeight w:val="175"/>
        </w:trPr>
        <w:tc>
          <w:tcPr>
            <w:tcW w:w="580" w:type="dxa"/>
            <w:vAlign w:val="bottom"/>
            <w:shd w:val="clear" w:color="auto" w:fill="E6E6E6"/>
          </w:tcPr>
          <w:p>
            <w:pPr>
              <w:ind w:left="180"/>
              <w:spacing w:after="0"/>
              <w:rPr>
                <w:sz w:val="20"/>
                <w:szCs w:val="20"/>
                <w:color w:val="auto"/>
              </w:rPr>
            </w:pPr>
            <w:r>
              <w:rPr>
                <w:rFonts w:ascii="Arial" w:cs="Arial" w:eastAsia="Arial" w:hAnsi="Arial"/>
                <w:sz w:val="11"/>
                <w:szCs w:val="11"/>
                <w:b w:val="1"/>
                <w:bCs w:val="1"/>
                <w:color w:val="auto"/>
              </w:rPr>
              <w:t>FY22</w:t>
            </w:r>
          </w:p>
        </w:tc>
        <w:tc>
          <w:tcPr>
            <w:tcW w:w="840" w:type="dxa"/>
            <w:vAlign w:val="bottom"/>
            <w:shd w:val="clear" w:color="auto" w:fill="E6E6E6"/>
          </w:tcPr>
          <w:p>
            <w:pPr>
              <w:jc w:val="right"/>
              <w:ind w:right="26"/>
              <w:spacing w:after="0"/>
              <w:rPr>
                <w:sz w:val="20"/>
                <w:szCs w:val="20"/>
                <w:color w:val="auto"/>
              </w:rPr>
            </w:pPr>
            <w:r>
              <w:rPr>
                <w:rFonts w:ascii="Arial" w:cs="Arial" w:eastAsia="Arial" w:hAnsi="Arial"/>
                <w:sz w:val="11"/>
                <w:szCs w:val="11"/>
                <w:color w:val="auto"/>
              </w:rPr>
              <w:t>$1,262,676</w:t>
            </w:r>
          </w:p>
        </w:tc>
        <w:tc>
          <w:tcPr>
            <w:tcW w:w="700" w:type="dxa"/>
            <w:vAlign w:val="bottom"/>
            <w:shd w:val="clear" w:color="auto" w:fill="E6E6E6"/>
          </w:tcPr>
          <w:p>
            <w:pPr>
              <w:jc w:val="right"/>
              <w:ind w:right="26"/>
              <w:spacing w:after="0"/>
              <w:rPr>
                <w:sz w:val="20"/>
                <w:szCs w:val="20"/>
                <w:color w:val="auto"/>
              </w:rPr>
            </w:pPr>
            <w:r>
              <w:rPr>
                <w:rFonts w:ascii="Arial" w:cs="Arial" w:eastAsia="Arial" w:hAnsi="Arial"/>
                <w:sz w:val="11"/>
                <w:szCs w:val="11"/>
                <w:color w:val="auto"/>
              </w:rPr>
              <w:t>$123,220</w:t>
            </w:r>
          </w:p>
        </w:tc>
        <w:tc>
          <w:tcPr>
            <w:tcW w:w="700" w:type="dxa"/>
            <w:vAlign w:val="bottom"/>
            <w:gridSpan w:val="2"/>
            <w:shd w:val="clear" w:color="auto" w:fill="E6E6E6"/>
          </w:tcPr>
          <w:p>
            <w:pPr>
              <w:jc w:val="right"/>
              <w:ind w:right="6"/>
              <w:spacing w:after="0"/>
              <w:rPr>
                <w:sz w:val="20"/>
                <w:szCs w:val="20"/>
                <w:color w:val="auto"/>
              </w:rPr>
            </w:pPr>
            <w:r>
              <w:rPr>
                <w:rFonts w:ascii="Arial" w:cs="Arial" w:eastAsia="Arial" w:hAnsi="Arial"/>
                <w:sz w:val="11"/>
                <w:szCs w:val="11"/>
                <w:color w:val="auto"/>
              </w:rPr>
              <w:t>$123,451</w:t>
            </w:r>
          </w:p>
        </w:tc>
        <w:tc>
          <w:tcPr>
            <w:tcW w:w="780" w:type="dxa"/>
            <w:vAlign w:val="bottom"/>
            <w:shd w:val="clear" w:color="auto" w:fill="E6E6E6"/>
          </w:tcPr>
          <w:p>
            <w:pPr>
              <w:jc w:val="right"/>
              <w:ind w:right="26"/>
              <w:spacing w:after="0"/>
              <w:rPr>
                <w:sz w:val="20"/>
                <w:szCs w:val="20"/>
                <w:color w:val="auto"/>
              </w:rPr>
            </w:pPr>
            <w:r>
              <w:rPr>
                <w:rFonts w:ascii="Arial" w:cs="Arial" w:eastAsia="Arial" w:hAnsi="Arial"/>
                <w:sz w:val="11"/>
                <w:szCs w:val="11"/>
                <w:color w:val="auto"/>
              </w:rPr>
              <w:t>$165,379</w:t>
            </w:r>
          </w:p>
        </w:tc>
        <w:tc>
          <w:tcPr>
            <w:tcW w:w="800" w:type="dxa"/>
            <w:vAlign w:val="bottom"/>
            <w:gridSpan w:val="2"/>
            <w:shd w:val="clear" w:color="auto" w:fill="E6E6E6"/>
          </w:tcPr>
          <w:p>
            <w:pPr>
              <w:jc w:val="right"/>
              <w:ind w:right="6"/>
              <w:spacing w:after="0"/>
              <w:rPr>
                <w:sz w:val="20"/>
                <w:szCs w:val="20"/>
                <w:color w:val="auto"/>
              </w:rPr>
            </w:pPr>
            <w:r>
              <w:rPr>
                <w:rFonts w:ascii="Arial" w:cs="Arial" w:eastAsia="Arial" w:hAnsi="Arial"/>
                <w:sz w:val="11"/>
                <w:szCs w:val="11"/>
                <w:color w:val="auto"/>
              </w:rPr>
              <w:t>$181,737</w:t>
            </w:r>
          </w:p>
        </w:tc>
        <w:tc>
          <w:tcPr>
            <w:tcW w:w="400" w:type="dxa"/>
            <w:vAlign w:val="bottom"/>
            <w:shd w:val="clear" w:color="auto" w:fill="E6E6E6"/>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E6E6E6"/>
          </w:tcPr>
          <w:p>
            <w:pPr>
              <w:jc w:val="right"/>
              <w:ind w:right="6"/>
              <w:spacing w:after="0"/>
              <w:rPr>
                <w:sz w:val="20"/>
                <w:szCs w:val="20"/>
                <w:color w:val="auto"/>
              </w:rPr>
            </w:pPr>
            <w:r>
              <w:rPr>
                <w:rFonts w:ascii="Arial" w:cs="Arial" w:eastAsia="Arial" w:hAnsi="Arial"/>
                <w:sz w:val="11"/>
                <w:szCs w:val="11"/>
                <w:color w:val="auto"/>
              </w:rPr>
              <w:t>139,034</w:t>
            </w:r>
          </w:p>
        </w:tc>
        <w:tc>
          <w:tcPr>
            <w:tcW w:w="420" w:type="dxa"/>
            <w:vAlign w:val="bottom"/>
            <w:shd w:val="clear" w:color="auto" w:fill="E6E6E6"/>
          </w:tcPr>
          <w:p>
            <w:pPr>
              <w:jc w:val="right"/>
              <w:spacing w:after="0"/>
              <w:rPr>
                <w:sz w:val="20"/>
                <w:szCs w:val="20"/>
                <w:color w:val="auto"/>
              </w:rPr>
            </w:pPr>
            <w:r>
              <w:rPr>
                <w:rFonts w:ascii="Arial" w:cs="Arial" w:eastAsia="Arial" w:hAnsi="Arial"/>
                <w:sz w:val="11"/>
                <w:szCs w:val="11"/>
                <w:color w:val="auto"/>
              </w:rPr>
              <w:t>$</w:t>
            </w:r>
          </w:p>
        </w:tc>
        <w:tc>
          <w:tcPr>
            <w:tcW w:w="500" w:type="dxa"/>
            <w:vAlign w:val="bottom"/>
            <w:shd w:val="clear" w:color="auto" w:fill="E6E6E6"/>
          </w:tcPr>
          <w:p>
            <w:pPr>
              <w:jc w:val="right"/>
              <w:ind w:right="6"/>
              <w:spacing w:after="0"/>
              <w:rPr>
                <w:sz w:val="20"/>
                <w:szCs w:val="20"/>
                <w:color w:val="auto"/>
              </w:rPr>
            </w:pPr>
            <w:r>
              <w:rPr>
                <w:rFonts w:ascii="Arial" w:cs="Arial" w:eastAsia="Arial" w:hAnsi="Arial"/>
                <w:sz w:val="11"/>
                <w:szCs w:val="11"/>
                <w:color w:val="auto"/>
              </w:rPr>
              <w:t>852,155</w:t>
            </w:r>
          </w:p>
        </w:tc>
        <w:tc>
          <w:tcPr>
            <w:tcW w:w="360" w:type="dxa"/>
            <w:vAlign w:val="bottom"/>
            <w:shd w:val="clear" w:color="auto" w:fill="E6E6E6"/>
          </w:tcPr>
          <w:p>
            <w:pPr>
              <w:jc w:val="right"/>
              <w:spacing w:after="0"/>
              <w:rPr>
                <w:sz w:val="20"/>
                <w:szCs w:val="20"/>
                <w:color w:val="auto"/>
              </w:rPr>
            </w:pPr>
            <w:r>
              <w:rPr>
                <w:rFonts w:ascii="Arial" w:cs="Arial" w:eastAsia="Arial" w:hAnsi="Arial"/>
                <w:sz w:val="11"/>
                <w:szCs w:val="11"/>
                <w:color w:val="auto"/>
              </w:rPr>
              <w:t>$</w:t>
            </w:r>
          </w:p>
        </w:tc>
        <w:tc>
          <w:tcPr>
            <w:tcW w:w="440" w:type="dxa"/>
            <w:vAlign w:val="bottom"/>
            <w:shd w:val="clear" w:color="auto" w:fill="E6E6E6"/>
          </w:tcPr>
          <w:p>
            <w:pPr>
              <w:jc w:val="right"/>
              <w:ind w:right="26"/>
              <w:spacing w:after="0"/>
              <w:rPr>
                <w:sz w:val="20"/>
                <w:szCs w:val="20"/>
                <w:color w:val="auto"/>
              </w:rPr>
            </w:pPr>
            <w:r>
              <w:rPr>
                <w:rFonts w:ascii="Arial" w:cs="Arial" w:eastAsia="Arial" w:hAnsi="Arial"/>
                <w:sz w:val="11"/>
                <w:szCs w:val="11"/>
                <w:color w:val="auto"/>
              </w:rPr>
              <w:t>57,072</w:t>
            </w:r>
          </w:p>
        </w:tc>
        <w:tc>
          <w:tcPr>
            <w:tcW w:w="480" w:type="dxa"/>
            <w:vAlign w:val="bottom"/>
            <w:shd w:val="clear" w:color="auto" w:fill="E6E6E6"/>
          </w:tcPr>
          <w:p>
            <w:pPr>
              <w:jc w:val="right"/>
              <w:ind w:right="6"/>
              <w:spacing w:after="0"/>
              <w:rPr>
                <w:sz w:val="20"/>
                <w:szCs w:val="20"/>
                <w:color w:val="auto"/>
              </w:rPr>
            </w:pPr>
            <w:r>
              <w:rPr>
                <w:rFonts w:ascii="Arial" w:cs="Arial" w:eastAsia="Arial" w:hAnsi="Arial"/>
                <w:sz w:val="11"/>
                <w:szCs w:val="11"/>
                <w:color w:val="auto"/>
              </w:rPr>
              <w:t>$</w:t>
            </w:r>
          </w:p>
        </w:tc>
        <w:tc>
          <w:tcPr>
            <w:tcW w:w="480" w:type="dxa"/>
            <w:vAlign w:val="bottom"/>
            <w:shd w:val="clear" w:color="auto" w:fill="E6E6E6"/>
          </w:tcPr>
          <w:p>
            <w:pPr>
              <w:jc w:val="right"/>
              <w:ind w:right="26"/>
              <w:spacing w:after="0"/>
              <w:rPr>
                <w:sz w:val="20"/>
                <w:szCs w:val="20"/>
                <w:color w:val="auto"/>
              </w:rPr>
            </w:pPr>
            <w:r>
              <w:rPr>
                <w:rFonts w:ascii="Arial" w:cs="Arial" w:eastAsia="Arial" w:hAnsi="Arial"/>
                <w:sz w:val="11"/>
                <w:szCs w:val="11"/>
                <w:color w:val="auto"/>
              </w:rPr>
              <w:t>—</w:t>
            </w:r>
          </w:p>
        </w:tc>
        <w:tc>
          <w:tcPr>
            <w:tcW w:w="1100" w:type="dxa"/>
            <w:vAlign w:val="bottom"/>
            <w:gridSpan w:val="2"/>
            <w:shd w:val="clear" w:color="auto" w:fill="E6E6E6"/>
          </w:tcPr>
          <w:p>
            <w:pPr>
              <w:jc w:val="right"/>
              <w:ind w:right="66"/>
              <w:spacing w:after="0"/>
              <w:rPr>
                <w:sz w:val="20"/>
                <w:szCs w:val="20"/>
                <w:color w:val="auto"/>
              </w:rPr>
            </w:pPr>
            <w:r>
              <w:rPr>
                <w:rFonts w:ascii="Arial" w:cs="Arial" w:eastAsia="Arial" w:hAnsi="Arial"/>
                <w:sz w:val="11"/>
                <w:szCs w:val="11"/>
                <w:color w:val="auto"/>
              </w:rPr>
              <w:t>$2,411,382</w:t>
            </w:r>
          </w:p>
        </w:tc>
      </w:tr>
      <w:tr>
        <w:trPr>
          <w:trHeight w:val="68"/>
        </w:trPr>
        <w:tc>
          <w:tcPr>
            <w:tcW w:w="580" w:type="dxa"/>
            <w:vAlign w:val="bottom"/>
            <w:tcBorders>
              <w:bottom w:val="single" w:sz="8" w:color="D9BA05"/>
            </w:tcBorders>
            <w:shd w:val="clear" w:color="auto" w:fill="E6E6E6"/>
          </w:tcPr>
          <w:p>
            <w:pPr>
              <w:spacing w:after="0"/>
              <w:rPr>
                <w:sz w:val="5"/>
                <w:szCs w:val="5"/>
                <w:color w:val="auto"/>
              </w:rPr>
            </w:pPr>
          </w:p>
        </w:tc>
        <w:tc>
          <w:tcPr>
            <w:tcW w:w="840" w:type="dxa"/>
            <w:vAlign w:val="bottom"/>
            <w:tcBorders>
              <w:bottom w:val="single" w:sz="8" w:color="D9BA05"/>
            </w:tcBorders>
            <w:shd w:val="clear" w:color="auto" w:fill="E6E6E6"/>
          </w:tcPr>
          <w:p>
            <w:pPr>
              <w:spacing w:after="0"/>
              <w:rPr>
                <w:sz w:val="5"/>
                <w:szCs w:val="5"/>
                <w:color w:val="auto"/>
              </w:rPr>
            </w:pPr>
          </w:p>
        </w:tc>
        <w:tc>
          <w:tcPr>
            <w:tcW w:w="700" w:type="dxa"/>
            <w:vAlign w:val="bottom"/>
            <w:tcBorders>
              <w:bottom w:val="single" w:sz="8" w:color="D9BA05"/>
            </w:tcBorders>
            <w:shd w:val="clear" w:color="auto" w:fill="E6E6E6"/>
          </w:tcPr>
          <w:p>
            <w:pPr>
              <w:spacing w:after="0"/>
              <w:rPr>
                <w:sz w:val="5"/>
                <w:szCs w:val="5"/>
                <w:color w:val="auto"/>
              </w:rPr>
            </w:pPr>
          </w:p>
        </w:tc>
        <w:tc>
          <w:tcPr>
            <w:tcW w:w="260" w:type="dxa"/>
            <w:vAlign w:val="bottom"/>
            <w:tcBorders>
              <w:bottom w:val="single" w:sz="8" w:color="D9BA05"/>
            </w:tcBorders>
            <w:shd w:val="clear" w:color="auto" w:fill="E6E6E6"/>
          </w:tcPr>
          <w:p>
            <w:pPr>
              <w:spacing w:after="0"/>
              <w:rPr>
                <w:sz w:val="5"/>
                <w:szCs w:val="5"/>
                <w:color w:val="auto"/>
              </w:rPr>
            </w:pPr>
          </w:p>
        </w:tc>
        <w:tc>
          <w:tcPr>
            <w:tcW w:w="440" w:type="dxa"/>
            <w:vAlign w:val="bottom"/>
            <w:tcBorders>
              <w:bottom w:val="single" w:sz="8" w:color="D9BA05"/>
            </w:tcBorders>
            <w:shd w:val="clear" w:color="auto" w:fill="E6E6E6"/>
          </w:tcPr>
          <w:p>
            <w:pPr>
              <w:spacing w:after="0"/>
              <w:rPr>
                <w:sz w:val="5"/>
                <w:szCs w:val="5"/>
                <w:color w:val="auto"/>
              </w:rPr>
            </w:pPr>
          </w:p>
        </w:tc>
        <w:tc>
          <w:tcPr>
            <w:tcW w:w="780" w:type="dxa"/>
            <w:vAlign w:val="bottom"/>
            <w:tcBorders>
              <w:bottom w:val="single" w:sz="8" w:color="D9BA05"/>
            </w:tcBorders>
            <w:shd w:val="clear" w:color="auto" w:fill="E6E6E6"/>
          </w:tcPr>
          <w:p>
            <w:pPr>
              <w:spacing w:after="0"/>
              <w:rPr>
                <w:sz w:val="5"/>
                <w:szCs w:val="5"/>
                <w:color w:val="auto"/>
              </w:rPr>
            </w:pPr>
          </w:p>
        </w:tc>
        <w:tc>
          <w:tcPr>
            <w:tcW w:w="480" w:type="dxa"/>
            <w:vAlign w:val="bottom"/>
            <w:tcBorders>
              <w:bottom w:val="single" w:sz="8" w:color="D9BA05"/>
            </w:tcBorders>
            <w:shd w:val="clear" w:color="auto" w:fill="E6E6E6"/>
          </w:tcPr>
          <w:p>
            <w:pPr>
              <w:spacing w:after="0"/>
              <w:rPr>
                <w:sz w:val="5"/>
                <w:szCs w:val="5"/>
                <w:color w:val="auto"/>
              </w:rPr>
            </w:pPr>
          </w:p>
        </w:tc>
        <w:tc>
          <w:tcPr>
            <w:tcW w:w="320" w:type="dxa"/>
            <w:vAlign w:val="bottom"/>
            <w:tcBorders>
              <w:bottom w:val="single" w:sz="8" w:color="D9BA05"/>
            </w:tcBorders>
            <w:shd w:val="clear" w:color="auto" w:fill="E6E6E6"/>
          </w:tcPr>
          <w:p>
            <w:pPr>
              <w:spacing w:after="0"/>
              <w:rPr>
                <w:sz w:val="5"/>
                <w:szCs w:val="5"/>
                <w:color w:val="auto"/>
              </w:rPr>
            </w:pPr>
          </w:p>
        </w:tc>
        <w:tc>
          <w:tcPr>
            <w:tcW w:w="400" w:type="dxa"/>
            <w:vAlign w:val="bottom"/>
            <w:tcBorders>
              <w:bottom w:val="single" w:sz="8" w:color="D9BA05"/>
            </w:tcBorders>
            <w:shd w:val="clear" w:color="auto" w:fill="E6E6E6"/>
          </w:tcPr>
          <w:p>
            <w:pPr>
              <w:spacing w:after="0"/>
              <w:rPr>
                <w:sz w:val="5"/>
                <w:szCs w:val="5"/>
                <w:color w:val="auto"/>
              </w:rPr>
            </w:pPr>
          </w:p>
        </w:tc>
        <w:tc>
          <w:tcPr>
            <w:tcW w:w="500" w:type="dxa"/>
            <w:vAlign w:val="bottom"/>
            <w:tcBorders>
              <w:bottom w:val="single" w:sz="8" w:color="D9BA05"/>
            </w:tcBorders>
            <w:shd w:val="clear" w:color="auto" w:fill="E6E6E6"/>
          </w:tcPr>
          <w:p>
            <w:pPr>
              <w:spacing w:after="0"/>
              <w:rPr>
                <w:sz w:val="5"/>
                <w:szCs w:val="5"/>
                <w:color w:val="auto"/>
              </w:rPr>
            </w:pPr>
          </w:p>
        </w:tc>
        <w:tc>
          <w:tcPr>
            <w:tcW w:w="420" w:type="dxa"/>
            <w:vAlign w:val="bottom"/>
            <w:tcBorders>
              <w:bottom w:val="single" w:sz="8" w:color="D9BA05"/>
            </w:tcBorders>
            <w:shd w:val="clear" w:color="auto" w:fill="E6E6E6"/>
          </w:tcPr>
          <w:p>
            <w:pPr>
              <w:spacing w:after="0"/>
              <w:rPr>
                <w:sz w:val="5"/>
                <w:szCs w:val="5"/>
                <w:color w:val="auto"/>
              </w:rPr>
            </w:pPr>
          </w:p>
        </w:tc>
        <w:tc>
          <w:tcPr>
            <w:tcW w:w="500" w:type="dxa"/>
            <w:vAlign w:val="bottom"/>
            <w:tcBorders>
              <w:bottom w:val="single" w:sz="8" w:color="D9BA05"/>
            </w:tcBorders>
            <w:shd w:val="clear" w:color="auto" w:fill="E6E6E6"/>
          </w:tcPr>
          <w:p>
            <w:pPr>
              <w:spacing w:after="0"/>
              <w:rPr>
                <w:sz w:val="5"/>
                <w:szCs w:val="5"/>
                <w:color w:val="auto"/>
              </w:rPr>
            </w:pPr>
          </w:p>
        </w:tc>
        <w:tc>
          <w:tcPr>
            <w:tcW w:w="360" w:type="dxa"/>
            <w:vAlign w:val="bottom"/>
            <w:tcBorders>
              <w:bottom w:val="single" w:sz="8" w:color="D9BA05"/>
            </w:tcBorders>
            <w:shd w:val="clear" w:color="auto" w:fill="E6E6E6"/>
          </w:tcPr>
          <w:p>
            <w:pPr>
              <w:spacing w:after="0"/>
              <w:rPr>
                <w:sz w:val="5"/>
                <w:szCs w:val="5"/>
                <w:color w:val="auto"/>
              </w:rPr>
            </w:pPr>
          </w:p>
        </w:tc>
        <w:tc>
          <w:tcPr>
            <w:tcW w:w="440" w:type="dxa"/>
            <w:vAlign w:val="bottom"/>
            <w:tcBorders>
              <w:bottom w:val="single" w:sz="8" w:color="D9BA05"/>
            </w:tcBorders>
            <w:shd w:val="clear" w:color="auto" w:fill="E6E6E6"/>
          </w:tcPr>
          <w:p>
            <w:pPr>
              <w:spacing w:after="0"/>
              <w:rPr>
                <w:sz w:val="5"/>
                <w:szCs w:val="5"/>
                <w:color w:val="auto"/>
              </w:rPr>
            </w:pPr>
          </w:p>
        </w:tc>
        <w:tc>
          <w:tcPr>
            <w:tcW w:w="480" w:type="dxa"/>
            <w:vAlign w:val="bottom"/>
            <w:tcBorders>
              <w:bottom w:val="single" w:sz="8" w:color="D9BA05"/>
            </w:tcBorders>
            <w:shd w:val="clear" w:color="auto" w:fill="E6E6E6"/>
          </w:tcPr>
          <w:p>
            <w:pPr>
              <w:spacing w:after="0"/>
              <w:rPr>
                <w:sz w:val="5"/>
                <w:szCs w:val="5"/>
                <w:color w:val="auto"/>
              </w:rPr>
            </w:pPr>
          </w:p>
        </w:tc>
        <w:tc>
          <w:tcPr>
            <w:tcW w:w="480" w:type="dxa"/>
            <w:vAlign w:val="bottom"/>
            <w:tcBorders>
              <w:bottom w:val="single" w:sz="8" w:color="D9BA05"/>
            </w:tcBorders>
            <w:shd w:val="clear" w:color="auto" w:fill="E6E6E6"/>
          </w:tcPr>
          <w:p>
            <w:pPr>
              <w:spacing w:after="0"/>
              <w:rPr>
                <w:sz w:val="5"/>
                <w:szCs w:val="5"/>
                <w:color w:val="auto"/>
              </w:rPr>
            </w:pPr>
          </w:p>
        </w:tc>
        <w:tc>
          <w:tcPr>
            <w:tcW w:w="540" w:type="dxa"/>
            <w:vAlign w:val="bottom"/>
            <w:tcBorders>
              <w:bottom w:val="single" w:sz="8" w:color="D9BA05"/>
            </w:tcBorders>
            <w:shd w:val="clear" w:color="auto" w:fill="E6E6E6"/>
          </w:tcPr>
          <w:p>
            <w:pPr>
              <w:spacing w:after="0"/>
              <w:rPr>
                <w:sz w:val="5"/>
                <w:szCs w:val="5"/>
                <w:color w:val="auto"/>
              </w:rPr>
            </w:pPr>
          </w:p>
        </w:tc>
        <w:tc>
          <w:tcPr>
            <w:tcW w:w="560" w:type="dxa"/>
            <w:vAlign w:val="bottom"/>
            <w:tcBorders>
              <w:bottom w:val="single" w:sz="8" w:color="D9BA05"/>
            </w:tcBorders>
            <w:shd w:val="clear" w:color="auto" w:fill="E6E6E6"/>
          </w:tcPr>
          <w:p>
            <w:pPr>
              <w:spacing w:after="0"/>
              <w:rPr>
                <w:sz w:val="5"/>
                <w:szCs w:val="5"/>
                <w:color w:val="auto"/>
              </w:rPr>
            </w:pPr>
          </w:p>
        </w:tc>
      </w:tr>
    </w:tbl>
    <w:p>
      <w:pPr>
        <w:spacing w:after="0" w:line="117" w:lineRule="exact"/>
        <w:rPr>
          <w:sz w:val="20"/>
          <w:szCs w:val="20"/>
          <w:color w:val="auto"/>
        </w:rPr>
      </w:pPr>
    </w:p>
    <w:p>
      <w:pPr>
        <w:ind w:left="340" w:right="80" w:hanging="334"/>
        <w:spacing w:after="0" w:line="233" w:lineRule="auto"/>
        <w:tabs>
          <w:tab w:leader="none" w:pos="340" w:val="left"/>
        </w:tabs>
        <w:numPr>
          <w:ilvl w:val="0"/>
          <w:numId w:val="32"/>
        </w:numPr>
        <w:rPr>
          <w:rFonts w:ascii="Arial" w:cs="Arial" w:eastAsia="Arial" w:hAnsi="Arial"/>
          <w:sz w:val="13"/>
          <w:szCs w:val="13"/>
          <w:color w:val="333333"/>
        </w:rPr>
      </w:pPr>
      <w:r>
        <w:rPr>
          <w:rFonts w:ascii="Arial" w:cs="Arial" w:eastAsia="Arial" w:hAnsi="Arial"/>
          <w:sz w:val="13"/>
          <w:szCs w:val="13"/>
          <w:color w:val="333333"/>
        </w:rPr>
        <w:t>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p>
    <w:p>
      <w:pPr>
        <w:spacing w:after="0" w:line="77" w:lineRule="exact"/>
        <w:rPr>
          <w:rFonts w:ascii="Arial" w:cs="Arial" w:eastAsia="Arial" w:hAnsi="Arial"/>
          <w:sz w:val="13"/>
          <w:szCs w:val="13"/>
          <w:color w:val="333333"/>
        </w:rPr>
      </w:pPr>
    </w:p>
    <w:p>
      <w:pPr>
        <w:ind w:left="340" w:hanging="334"/>
        <w:spacing w:after="0" w:line="330" w:lineRule="auto"/>
        <w:tabs>
          <w:tab w:leader="none" w:pos="340" w:val="left"/>
        </w:tabs>
        <w:numPr>
          <w:ilvl w:val="0"/>
          <w:numId w:val="32"/>
        </w:numPr>
        <w:rPr>
          <w:rFonts w:ascii="Arial" w:cs="Arial" w:eastAsia="Arial" w:hAnsi="Arial"/>
          <w:sz w:val="12"/>
          <w:szCs w:val="12"/>
          <w:color w:val="333333"/>
        </w:rPr>
      </w:pPr>
      <w:r>
        <w:rPr>
          <w:rFonts w:ascii="Arial" w:cs="Arial" w:eastAsia="Arial" w:hAnsi="Arial"/>
          <w:sz w:val="12"/>
          <w:szCs w:val="12"/>
          <w:color w:val="333333"/>
        </w:rPr>
        <w:t>Represents the TSR, calculated in the same manner as set forth in note (5) immediately above, for the Russell 2000 Index, which is the peer group we utilize in the stock performance graph required by Item 201(e) of Regulation S-K included in our Annual Report on Form 10-K for the fiscal year ended January 31, 2026.</w:t>
      </w:r>
    </w:p>
    <w:p>
      <w:pPr>
        <w:spacing w:after="0" w:line="52" w:lineRule="exact"/>
        <w:rPr>
          <w:rFonts w:ascii="Arial" w:cs="Arial" w:eastAsia="Arial" w:hAnsi="Arial"/>
          <w:sz w:val="12"/>
          <w:szCs w:val="12"/>
          <w:color w:val="333333"/>
        </w:rPr>
      </w:pPr>
    </w:p>
    <w:p>
      <w:pPr>
        <w:ind w:left="340" w:right="20" w:hanging="334"/>
        <w:spacing w:after="0" w:line="286" w:lineRule="auto"/>
        <w:tabs>
          <w:tab w:leader="none" w:pos="340" w:val="left"/>
        </w:tabs>
        <w:numPr>
          <w:ilvl w:val="0"/>
          <w:numId w:val="32"/>
        </w:numPr>
        <w:rPr>
          <w:rFonts w:ascii="Arial" w:cs="Arial" w:eastAsia="Arial" w:hAnsi="Arial"/>
          <w:sz w:val="13"/>
          <w:szCs w:val="13"/>
          <w:color w:val="333333"/>
        </w:rPr>
      </w:pPr>
      <w:r>
        <w:rPr>
          <w:rFonts w:ascii="Arial" w:cs="Arial" w:eastAsia="Arial" w:hAnsi="Arial"/>
          <w:sz w:val="13"/>
          <w:szCs w:val="13"/>
          <w:color w:val="333333"/>
        </w:rPr>
        <w:t>The dollar amounts represent the amount of net income reported in the Company’s audited financial statements for the applicable year after eliminating net income attributable to noncontrolling interests. The amounts for fiscal years 2022, 2023 and 2024 reflect the restatement announced on April 11, 2025.</w:t>
      </w:r>
    </w:p>
    <w:p>
      <w:pPr>
        <w:spacing w:after="0" w:line="62" w:lineRule="exact"/>
        <w:rPr>
          <w:rFonts w:ascii="Arial" w:cs="Arial" w:eastAsia="Arial" w:hAnsi="Arial"/>
          <w:sz w:val="13"/>
          <w:szCs w:val="13"/>
          <w:color w:val="333333"/>
        </w:rPr>
      </w:pPr>
    </w:p>
    <w:p>
      <w:pPr>
        <w:ind w:left="340" w:right="20" w:hanging="334"/>
        <w:spacing w:after="0" w:line="297" w:lineRule="auto"/>
        <w:tabs>
          <w:tab w:leader="none" w:pos="340" w:val="left"/>
        </w:tabs>
        <w:numPr>
          <w:ilvl w:val="0"/>
          <w:numId w:val="32"/>
        </w:numPr>
        <w:rPr>
          <w:rFonts w:ascii="Arial" w:cs="Arial" w:eastAsia="Arial" w:hAnsi="Arial"/>
          <w:sz w:val="12"/>
          <w:szCs w:val="12"/>
          <w:color w:val="333333"/>
        </w:rPr>
      </w:pPr>
      <w:r>
        <w:rPr>
          <w:rFonts w:ascii="Arial" w:cs="Arial" w:eastAsia="Arial" w:hAnsi="Arial"/>
          <w:sz w:val="12"/>
          <w:szCs w:val="12"/>
          <w:color w:val="333333"/>
        </w:rPr>
        <w:t>The dollar amounts represent Adjusted Operating Income, which the Company defines as operating income reported in the Company’s audited financial statements, adjusted to eliminate certain items that the Company believes are not characteristic of its usual operations. For fiscal year 2025, the excluded items are costs related to the internal investigation of conduct within the Company’s Dubai branch and costs related to the establishment of a provision for a corporate cost-savings initiative. The detailed adjustments for each fiscal year can be found in the Company’s Annual Report on Form 10-K for such year. The Company has determined that Adjusted Operating Income is the financial performance measure that, in the Company’s assessment, represents the most important performance measure (that is not otherwise required to be disclosed in the table) used by the Company to link compensation actually paid to the Company’s NEOs, for the most recently completed fiscal year, to Company performance. The amounts for fiscal years 2022, 2023 and 2024 reflect the restatement announced on April 11, 2025.</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Movado Group, Inc.        38</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4" w:lineRule="exact"/>
        <w:rPr>
          <w:sz w:val="20"/>
          <w:szCs w:val="20"/>
          <w:color w:val="auto"/>
        </w:rPr>
      </w:pPr>
    </w:p>
    <w:p>
      <w:pPr>
        <w:ind w:right="80"/>
        <w:spacing w:after="0" w:line="251" w:lineRule="auto"/>
        <w:rPr>
          <w:sz w:val="20"/>
          <w:szCs w:val="20"/>
          <w:color w:val="auto"/>
        </w:rPr>
      </w:pPr>
      <w:r>
        <w:rPr>
          <w:rFonts w:ascii="Arial" w:cs="Arial" w:eastAsia="Arial" w:hAnsi="Arial"/>
          <w:sz w:val="22"/>
          <w:szCs w:val="22"/>
          <w:b w:val="1"/>
          <w:bCs w:val="1"/>
          <w:color w:val="D9BA05"/>
        </w:rPr>
        <w:t>Required Disclosures Regarding the Relationships Between CAP and Certain Performance Metrics</w:t>
      </w:r>
    </w:p>
    <w:p>
      <w:pPr>
        <w:spacing w:after="0" w:line="1" w:lineRule="exact"/>
        <w:rPr>
          <w:sz w:val="20"/>
          <w:szCs w:val="20"/>
          <w:color w:val="auto"/>
        </w:rPr>
      </w:pPr>
    </w:p>
    <w:p>
      <w:pPr>
        <w:spacing w:after="0" w:line="300" w:lineRule="auto"/>
        <w:rPr>
          <w:sz w:val="20"/>
          <w:szCs w:val="20"/>
          <w:color w:val="auto"/>
        </w:rPr>
      </w:pPr>
      <w:r>
        <w:rPr>
          <w:rFonts w:ascii="Arial" w:cs="Arial" w:eastAsia="Arial" w:hAnsi="Arial"/>
          <w:sz w:val="16"/>
          <w:szCs w:val="16"/>
          <w:color w:val="auto"/>
        </w:rPr>
        <w:t>In accordance with Item 402(v) of Regulation S-K, the Company is providing the following descriptions of the relationships between information presented in the Pay Versus Performance table.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 vs. Cumulative TSR</w:t>
      </w:r>
    </w:p>
    <w:p>
      <w:pPr>
        <w:spacing w:after="0" w:line="32"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following graph demonstrates the relationship of the “compensation actually paid” (CAP) for Mr. E. Grinberg and the average CAP for the non-CEO NEOs to the Company’s cumulative TSR and the cumulative TSR of the Russell 2000 Index (which is the peer group used in the Pay Versus Performance table) over the five years presented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586740</wp:posOffset>
            </wp:positionH>
            <wp:positionV relativeFrom="paragraph">
              <wp:posOffset>179705</wp:posOffset>
            </wp:positionV>
            <wp:extent cx="4808855" cy="27863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808855" cy="2786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Movado Group, Inc.        39</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 vs. Net Income and Adjusted Operating Income</w:t>
      </w:r>
    </w:p>
    <w:p>
      <w:pPr>
        <w:spacing w:after="0" w:line="32"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The following graph demonstrates the relationship of the CAP for Mr. E. Grinberg and the average CAP for the non-CEO NEOs to the Company’s Net Income and Adjusted Operating Income over the five years presented in the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179070</wp:posOffset>
            </wp:positionV>
            <wp:extent cx="4826000" cy="2802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82600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D9BA05"/>
        </w:rPr>
        <w:t>Financial Performance Measures</w:t>
      </w:r>
    </w:p>
    <w:p>
      <w:pPr>
        <w:spacing w:after="0" w:line="34" w:lineRule="exact"/>
        <w:rPr>
          <w:sz w:val="20"/>
          <w:szCs w:val="20"/>
          <w:color w:val="auto"/>
        </w:rPr>
      </w:pPr>
    </w:p>
    <w:p>
      <w:pPr>
        <w:ind w:right="380"/>
        <w:spacing w:after="0" w:line="256" w:lineRule="auto"/>
        <w:rPr>
          <w:sz w:val="20"/>
          <w:szCs w:val="20"/>
          <w:color w:val="auto"/>
        </w:rPr>
      </w:pPr>
      <w:r>
        <w:rPr>
          <w:rFonts w:ascii="Arial" w:cs="Arial" w:eastAsia="Arial" w:hAnsi="Arial"/>
          <w:sz w:val="16"/>
          <w:szCs w:val="16"/>
          <w:color w:val="auto"/>
        </w:rPr>
        <w:t>In accordance with Item 402(v) of Regulation S-K, the Company is disclosing the three most important financial performance measures used by the Company to link compensation actually paid to our NEOs for fiscal year 2026. Such measures were (unranked):</w:t>
      </w:r>
    </w:p>
    <w:p>
      <w:pPr>
        <w:spacing w:after="0" w:line="124" w:lineRule="exact"/>
        <w:rPr>
          <w:sz w:val="20"/>
          <w:szCs w:val="20"/>
          <w:color w:val="auto"/>
        </w:rPr>
      </w:pPr>
    </w:p>
    <w:p>
      <w:pPr>
        <w:ind w:left="660" w:hanging="330"/>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Adjusted operating income</w:t>
      </w:r>
    </w:p>
    <w:p>
      <w:pPr>
        <w:spacing w:after="0" w:line="167" w:lineRule="exact"/>
        <w:rPr>
          <w:rFonts w:ascii="Arial" w:cs="Arial" w:eastAsia="Arial" w:hAnsi="Arial"/>
          <w:sz w:val="16"/>
          <w:szCs w:val="16"/>
          <w:color w:val="auto"/>
        </w:rPr>
      </w:pPr>
    </w:p>
    <w:p>
      <w:pPr>
        <w:ind w:left="660" w:hanging="330"/>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Net sales</w:t>
      </w:r>
    </w:p>
    <w:p>
      <w:pPr>
        <w:spacing w:after="0" w:line="167" w:lineRule="exact"/>
        <w:rPr>
          <w:rFonts w:ascii="Arial" w:cs="Arial" w:eastAsia="Arial" w:hAnsi="Arial"/>
          <w:sz w:val="16"/>
          <w:szCs w:val="16"/>
          <w:color w:val="auto"/>
        </w:rPr>
      </w:pPr>
    </w:p>
    <w:p>
      <w:pPr>
        <w:ind w:left="660" w:hanging="330"/>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Net cash provided by operating activities</w:t>
      </w: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Movado Group, Inc.        40</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240" w:top="114" w:right="1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50"/>
          <w:szCs w:val="50"/>
          <w:b w:val="1"/>
          <w:bCs w:val="1"/>
          <w:color w:val="D9BA05"/>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59664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1"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No employee of the Company receives any additional compensation for serving on the Board of Directors. The annual base compensation paid to the non-employee directors for fiscal 2026 consisted of a $95,000 cash retainer (increased $5,000 from the prior year) and an equity component valued at approximately $125,000 in the form of a stock award, cliff-vesting in one year (unchanged from the prior year). In addition to the annual base compensation, the annual retainers paid to the committee members remained unchanged from the prior year and were as follows: Audit: $7,500 ($25,000 for the chair); Compensation and Human Capital: $5,000 ($20,000 for the chair); and Nominating, Governance and Corporate Responsibility: $5,000 ($17,500 for the chair). The lead director received an annual cash retainer of $50,000 (unchanged from the prior year) and an equity component valued at $75,000 (unchanged from the prior year). The cash compensation is paid quarterly and the equity grants are made annually after the reporting of financial results for the prior fiscal year. Each director was also granted an annual allowance for the purchase of Company watches up to an aggregate suggested retail value of $6,000.</w:t>
      </w:r>
    </w:p>
    <w:p>
      <w:pPr>
        <w:spacing w:after="0" w:line="135"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Recognizing that ownership of the Company’s Common Stock more closely aligns non-employee director interests with the long-term interests of shareholders and is consistent with best governance practices, the Board of Directors maintains stock ownership guidelines for the non-employee directors to the effect that each non-employee director is expected to beneficially own shares of the Company’s Common Stock with a market value of at least $250,000.</w:t>
      </w:r>
    </w:p>
    <w:p>
      <w:pPr>
        <w:spacing w:after="0" w:line="12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following table shows the cash amounts and the value of other compensation paid to each non-employee director in respect of fiscal 2026:</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40" w:type="dxa"/>
            <w:vAlign w:val="bottom"/>
          </w:tcPr>
          <w:p>
            <w:pPr>
              <w:ind w:left="160"/>
              <w:spacing w:after="0"/>
              <w:rPr>
                <w:sz w:val="20"/>
                <w:szCs w:val="20"/>
                <w:color w:val="auto"/>
              </w:rPr>
            </w:pPr>
            <w:r>
              <w:rPr>
                <w:rFonts w:ascii="Arial" w:cs="Arial" w:eastAsia="Arial" w:hAnsi="Arial"/>
                <w:sz w:val="13"/>
                <w:szCs w:val="13"/>
                <w:b w:val="1"/>
                <w:bCs w:val="1"/>
                <w:color w:val="auto"/>
              </w:rPr>
              <w:t>(A)</w:t>
            </w:r>
          </w:p>
        </w:tc>
        <w:tc>
          <w:tcPr>
            <w:tcW w:w="2080" w:type="dxa"/>
            <w:vAlign w:val="bottom"/>
          </w:tcPr>
          <w:p>
            <w:pPr>
              <w:jc w:val="right"/>
              <w:ind w:right="272"/>
              <w:spacing w:after="0"/>
              <w:rPr>
                <w:sz w:val="20"/>
                <w:szCs w:val="20"/>
                <w:color w:val="auto"/>
              </w:rPr>
            </w:pPr>
            <w:r>
              <w:rPr>
                <w:rFonts w:ascii="Arial" w:cs="Arial" w:eastAsia="Arial" w:hAnsi="Arial"/>
                <w:sz w:val="13"/>
                <w:szCs w:val="13"/>
                <w:b w:val="1"/>
                <w:bCs w:val="1"/>
                <w:color w:val="auto"/>
              </w:rPr>
              <w:t>(B)</w:t>
            </w:r>
          </w:p>
        </w:tc>
        <w:tc>
          <w:tcPr>
            <w:tcW w:w="1360" w:type="dxa"/>
            <w:vAlign w:val="bottom"/>
          </w:tcPr>
          <w:p>
            <w:pPr>
              <w:jc w:val="right"/>
              <w:ind w:right="273"/>
              <w:spacing w:after="0"/>
              <w:rPr>
                <w:sz w:val="20"/>
                <w:szCs w:val="20"/>
                <w:color w:val="auto"/>
              </w:rPr>
            </w:pPr>
            <w:r>
              <w:rPr>
                <w:rFonts w:ascii="Arial" w:cs="Arial" w:eastAsia="Arial" w:hAnsi="Arial"/>
                <w:sz w:val="13"/>
                <w:szCs w:val="13"/>
                <w:b w:val="1"/>
                <w:bCs w:val="1"/>
                <w:color w:val="auto"/>
              </w:rPr>
              <w:t>(C)</w:t>
            </w:r>
          </w:p>
        </w:tc>
        <w:tc>
          <w:tcPr>
            <w:tcW w:w="1220" w:type="dxa"/>
            <w:vAlign w:val="bottom"/>
          </w:tcPr>
          <w:p>
            <w:pPr>
              <w:jc w:val="right"/>
              <w:ind w:right="252"/>
              <w:spacing w:after="0"/>
              <w:rPr>
                <w:sz w:val="20"/>
                <w:szCs w:val="20"/>
                <w:color w:val="auto"/>
              </w:rPr>
            </w:pPr>
            <w:r>
              <w:rPr>
                <w:rFonts w:ascii="Arial" w:cs="Arial" w:eastAsia="Arial" w:hAnsi="Arial"/>
                <w:sz w:val="13"/>
                <w:szCs w:val="13"/>
                <w:b w:val="1"/>
                <w:bCs w:val="1"/>
                <w:color w:val="auto"/>
              </w:rPr>
              <w:t>(D)</w:t>
            </w:r>
          </w:p>
        </w:tc>
        <w:tc>
          <w:tcPr>
            <w:tcW w:w="1840" w:type="dxa"/>
            <w:vAlign w:val="bottom"/>
          </w:tcPr>
          <w:p>
            <w:pPr>
              <w:jc w:val="right"/>
              <w:ind w:right="273"/>
              <w:spacing w:after="0"/>
              <w:rPr>
                <w:sz w:val="20"/>
                <w:szCs w:val="20"/>
                <w:color w:val="auto"/>
              </w:rPr>
            </w:pPr>
            <w:r>
              <w:rPr>
                <w:rFonts w:ascii="Arial" w:cs="Arial" w:eastAsia="Arial" w:hAnsi="Arial"/>
                <w:sz w:val="13"/>
                <w:szCs w:val="13"/>
                <w:b w:val="1"/>
                <w:bCs w:val="1"/>
                <w:color w:val="auto"/>
              </w:rPr>
              <w:t>(E)</w:t>
            </w:r>
          </w:p>
        </w:tc>
        <w:tc>
          <w:tcPr>
            <w:tcW w:w="960" w:type="dxa"/>
            <w:vAlign w:val="bottom"/>
          </w:tcPr>
          <w:p>
            <w:pPr>
              <w:jc w:val="right"/>
              <w:ind w:right="31"/>
              <w:spacing w:after="0"/>
              <w:rPr>
                <w:sz w:val="20"/>
                <w:szCs w:val="20"/>
                <w:color w:val="auto"/>
              </w:rPr>
            </w:pPr>
            <w:r>
              <w:rPr>
                <w:rFonts w:ascii="Arial" w:cs="Arial" w:eastAsia="Arial" w:hAnsi="Arial"/>
                <w:sz w:val="13"/>
                <w:szCs w:val="13"/>
                <w:b w:val="1"/>
                <w:bCs w:val="1"/>
                <w:color w:val="auto"/>
              </w:rPr>
              <w:t>(F)</w:t>
            </w:r>
          </w:p>
        </w:tc>
        <w:tc>
          <w:tcPr>
            <w:tcW w:w="0" w:type="dxa"/>
            <w:vAlign w:val="bottom"/>
          </w:tcPr>
          <w:p>
            <w:pPr>
              <w:spacing w:after="0"/>
              <w:rPr>
                <w:sz w:val="1"/>
                <w:szCs w:val="1"/>
                <w:color w:val="auto"/>
              </w:rPr>
            </w:pPr>
          </w:p>
        </w:tc>
      </w:tr>
      <w:tr>
        <w:trPr>
          <w:trHeight w:val="62"/>
        </w:trPr>
        <w:tc>
          <w:tcPr>
            <w:tcW w:w="1940" w:type="dxa"/>
            <w:vAlign w:val="bottom"/>
            <w:tcBorders>
              <w:bottom w:val="single" w:sz="8" w:color="D9BA05"/>
            </w:tcBorders>
          </w:tcPr>
          <w:p>
            <w:pPr>
              <w:spacing w:after="0"/>
              <w:rPr>
                <w:sz w:val="5"/>
                <w:szCs w:val="5"/>
                <w:color w:val="auto"/>
              </w:rPr>
            </w:pPr>
          </w:p>
        </w:tc>
        <w:tc>
          <w:tcPr>
            <w:tcW w:w="2080" w:type="dxa"/>
            <w:vAlign w:val="bottom"/>
            <w:tcBorders>
              <w:bottom w:val="single" w:sz="8" w:color="D9BA05"/>
            </w:tcBorders>
          </w:tcPr>
          <w:p>
            <w:pPr>
              <w:spacing w:after="0"/>
              <w:rPr>
                <w:sz w:val="5"/>
                <w:szCs w:val="5"/>
                <w:color w:val="auto"/>
              </w:rPr>
            </w:pPr>
          </w:p>
        </w:tc>
        <w:tc>
          <w:tcPr>
            <w:tcW w:w="1360" w:type="dxa"/>
            <w:vAlign w:val="bottom"/>
            <w:tcBorders>
              <w:bottom w:val="single" w:sz="8" w:color="D9BA05"/>
            </w:tcBorders>
          </w:tcPr>
          <w:p>
            <w:pPr>
              <w:spacing w:after="0"/>
              <w:rPr>
                <w:sz w:val="5"/>
                <w:szCs w:val="5"/>
                <w:color w:val="auto"/>
              </w:rPr>
            </w:pPr>
          </w:p>
        </w:tc>
        <w:tc>
          <w:tcPr>
            <w:tcW w:w="1220" w:type="dxa"/>
            <w:vAlign w:val="bottom"/>
            <w:tcBorders>
              <w:bottom w:val="single" w:sz="8" w:color="D9BA05"/>
            </w:tcBorders>
          </w:tcPr>
          <w:p>
            <w:pPr>
              <w:spacing w:after="0"/>
              <w:rPr>
                <w:sz w:val="5"/>
                <w:szCs w:val="5"/>
                <w:color w:val="auto"/>
              </w:rPr>
            </w:pPr>
          </w:p>
        </w:tc>
        <w:tc>
          <w:tcPr>
            <w:tcW w:w="1840" w:type="dxa"/>
            <w:vAlign w:val="bottom"/>
            <w:tcBorders>
              <w:bottom w:val="single" w:sz="8" w:color="D9BA05"/>
            </w:tcBorders>
          </w:tcPr>
          <w:p>
            <w:pPr>
              <w:spacing w:after="0"/>
              <w:rPr>
                <w:sz w:val="5"/>
                <w:szCs w:val="5"/>
                <w:color w:val="auto"/>
              </w:rPr>
            </w:pPr>
          </w:p>
        </w:tc>
        <w:tc>
          <w:tcPr>
            <w:tcW w:w="960" w:type="dxa"/>
            <w:vAlign w:val="bottom"/>
            <w:tcBorders>
              <w:bottom w:val="single" w:sz="8" w:color="D9BA05"/>
            </w:tcBorders>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1940" w:type="dxa"/>
            <w:vAlign w:val="bottom"/>
          </w:tcPr>
          <w:p>
            <w:pPr>
              <w:spacing w:after="0"/>
              <w:rPr>
                <w:sz w:val="18"/>
                <w:szCs w:val="18"/>
                <w:color w:val="auto"/>
              </w:rPr>
            </w:pPr>
          </w:p>
        </w:tc>
        <w:tc>
          <w:tcPr>
            <w:tcW w:w="2080" w:type="dxa"/>
            <w:vAlign w:val="bottom"/>
          </w:tcPr>
          <w:p>
            <w:pPr>
              <w:jc w:val="right"/>
              <w:ind w:right="312"/>
              <w:spacing w:after="0"/>
              <w:rPr>
                <w:sz w:val="20"/>
                <w:szCs w:val="20"/>
                <w:color w:val="auto"/>
              </w:rPr>
            </w:pPr>
            <w:r>
              <w:rPr>
                <w:rFonts w:ascii="Arial" w:cs="Arial" w:eastAsia="Arial" w:hAnsi="Arial"/>
                <w:sz w:val="13"/>
                <w:szCs w:val="13"/>
                <w:b w:val="1"/>
                <w:bCs w:val="1"/>
                <w:color w:val="auto"/>
              </w:rPr>
              <w:t>FEES EARNED OR</w:t>
            </w:r>
          </w:p>
        </w:tc>
        <w:tc>
          <w:tcPr>
            <w:tcW w:w="1360" w:type="dxa"/>
            <w:vAlign w:val="bottom"/>
          </w:tcPr>
          <w:p>
            <w:pPr>
              <w:jc w:val="right"/>
              <w:ind w:right="313"/>
              <w:spacing w:after="0"/>
              <w:rPr>
                <w:sz w:val="20"/>
                <w:szCs w:val="20"/>
                <w:color w:val="auto"/>
              </w:rPr>
            </w:pPr>
            <w:r>
              <w:rPr>
                <w:rFonts w:ascii="Arial" w:cs="Arial" w:eastAsia="Arial" w:hAnsi="Arial"/>
                <w:sz w:val="13"/>
                <w:szCs w:val="13"/>
                <w:b w:val="1"/>
                <w:bCs w:val="1"/>
                <w:color w:val="auto"/>
              </w:rPr>
              <w:t>STOCK</w:t>
            </w:r>
          </w:p>
        </w:tc>
        <w:tc>
          <w:tcPr>
            <w:tcW w:w="1220" w:type="dxa"/>
            <w:vAlign w:val="bottom"/>
          </w:tcPr>
          <w:p>
            <w:pPr>
              <w:jc w:val="right"/>
              <w:ind w:right="292"/>
              <w:spacing w:after="0"/>
              <w:rPr>
                <w:sz w:val="20"/>
                <w:szCs w:val="20"/>
                <w:color w:val="auto"/>
              </w:rPr>
            </w:pPr>
            <w:r>
              <w:rPr>
                <w:rFonts w:ascii="Arial" w:cs="Arial" w:eastAsia="Arial" w:hAnsi="Arial"/>
                <w:sz w:val="13"/>
                <w:szCs w:val="13"/>
                <w:b w:val="1"/>
                <w:bCs w:val="1"/>
                <w:color w:val="auto"/>
              </w:rPr>
              <w:t>OPTION</w:t>
            </w:r>
          </w:p>
        </w:tc>
        <w:tc>
          <w:tcPr>
            <w:tcW w:w="1840" w:type="dxa"/>
            <w:vAlign w:val="bottom"/>
          </w:tcPr>
          <w:p>
            <w:pPr>
              <w:jc w:val="right"/>
              <w:ind w:right="313"/>
              <w:spacing w:after="0"/>
              <w:rPr>
                <w:sz w:val="20"/>
                <w:szCs w:val="20"/>
                <w:color w:val="auto"/>
              </w:rPr>
            </w:pPr>
            <w:r>
              <w:rPr>
                <w:rFonts w:ascii="Arial" w:cs="Arial" w:eastAsia="Arial" w:hAnsi="Arial"/>
                <w:sz w:val="13"/>
                <w:szCs w:val="13"/>
                <w:b w:val="1"/>
                <w:bCs w:val="1"/>
                <w:color w:val="auto"/>
              </w:rPr>
              <w:t>ALL OTHER</w:t>
            </w:r>
          </w:p>
        </w:tc>
        <w:tc>
          <w:tcPr>
            <w:tcW w:w="960" w:type="dxa"/>
            <w:vAlign w:val="bottom"/>
            <w:vMerge w:val="restart"/>
          </w:tcPr>
          <w:p>
            <w:pPr>
              <w:jc w:val="right"/>
              <w:ind w:right="71"/>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44"/>
        </w:trPr>
        <w:tc>
          <w:tcPr>
            <w:tcW w:w="194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NAME</w:t>
            </w:r>
          </w:p>
        </w:tc>
        <w:tc>
          <w:tcPr>
            <w:tcW w:w="2080" w:type="dxa"/>
            <w:vAlign w:val="bottom"/>
          </w:tcPr>
          <w:p>
            <w:pPr>
              <w:jc w:val="right"/>
              <w:ind w:right="312"/>
              <w:spacing w:after="0" w:line="144" w:lineRule="exact"/>
              <w:rPr>
                <w:sz w:val="20"/>
                <w:szCs w:val="20"/>
                <w:color w:val="auto"/>
              </w:rPr>
            </w:pPr>
            <w:r>
              <w:rPr>
                <w:rFonts w:ascii="Arial" w:cs="Arial" w:eastAsia="Arial" w:hAnsi="Arial"/>
                <w:sz w:val="13"/>
                <w:szCs w:val="13"/>
                <w:b w:val="1"/>
                <w:bCs w:val="1"/>
                <w:color w:val="auto"/>
              </w:rPr>
              <w:t>PAID IN CASH</w:t>
            </w:r>
          </w:p>
        </w:tc>
        <w:tc>
          <w:tcPr>
            <w:tcW w:w="1360" w:type="dxa"/>
            <w:vAlign w:val="bottom"/>
          </w:tcPr>
          <w:p>
            <w:pPr>
              <w:jc w:val="right"/>
              <w:ind w:right="273"/>
              <w:spacing w:after="0" w:line="144"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6"/>
                <w:szCs w:val="16"/>
                <w:b w:val="1"/>
                <w:bCs w:val="1"/>
                <w:color w:val="auto"/>
                <w:vertAlign w:val="superscript"/>
              </w:rPr>
              <w:t>(1)</w:t>
            </w:r>
          </w:p>
        </w:tc>
        <w:tc>
          <w:tcPr>
            <w:tcW w:w="1220" w:type="dxa"/>
            <w:vAlign w:val="bottom"/>
          </w:tcPr>
          <w:p>
            <w:pPr>
              <w:jc w:val="right"/>
              <w:ind w:right="252"/>
              <w:spacing w:after="0" w:line="144" w:lineRule="exact"/>
              <w:rPr>
                <w:sz w:val="20"/>
                <w:szCs w:val="20"/>
                <w:color w:val="auto"/>
              </w:rPr>
            </w:pPr>
            <w:r>
              <w:rPr>
                <w:rFonts w:ascii="Arial" w:cs="Arial" w:eastAsia="Arial" w:hAnsi="Arial"/>
                <w:sz w:val="13"/>
                <w:szCs w:val="13"/>
                <w:b w:val="1"/>
                <w:bCs w:val="1"/>
                <w:color w:val="auto"/>
              </w:rPr>
              <w:t>AWARDS</w:t>
            </w:r>
          </w:p>
        </w:tc>
        <w:tc>
          <w:tcPr>
            <w:tcW w:w="1840" w:type="dxa"/>
            <w:vAlign w:val="bottom"/>
          </w:tcPr>
          <w:p>
            <w:pPr>
              <w:jc w:val="right"/>
              <w:ind w:right="273"/>
              <w:spacing w:after="0" w:line="144" w:lineRule="exact"/>
              <w:rPr>
                <w:sz w:val="20"/>
                <w:szCs w:val="20"/>
                <w:color w:val="auto"/>
              </w:rPr>
            </w:pPr>
            <w:r>
              <w:rPr>
                <w:rFonts w:ascii="Arial" w:cs="Arial" w:eastAsia="Arial" w:hAnsi="Arial"/>
                <w:sz w:val="10"/>
                <w:szCs w:val="10"/>
                <w:b w:val="1"/>
                <w:bCs w:val="1"/>
                <w:color w:val="auto"/>
              </w:rPr>
              <w:t>COMPENSATION</w:t>
            </w:r>
            <w:r>
              <w:rPr>
                <w:rFonts w:ascii="Arial" w:cs="Arial" w:eastAsia="Arial" w:hAnsi="Arial"/>
                <w:sz w:val="16"/>
                <w:szCs w:val="16"/>
                <w:b w:val="1"/>
                <w:bCs w:val="1"/>
                <w:color w:val="auto"/>
                <w:vertAlign w:val="superscript"/>
              </w:rPr>
              <w:t>(2)</w:t>
            </w: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940" w:type="dxa"/>
            <w:vAlign w:val="bottom"/>
            <w:vMerge w:val="continue"/>
          </w:tcPr>
          <w:p>
            <w:pPr>
              <w:spacing w:after="0"/>
              <w:rPr>
                <w:sz w:val="14"/>
                <w:szCs w:val="14"/>
                <w:color w:val="auto"/>
              </w:rPr>
            </w:pPr>
          </w:p>
        </w:tc>
        <w:tc>
          <w:tcPr>
            <w:tcW w:w="2080" w:type="dxa"/>
            <w:vAlign w:val="bottom"/>
          </w:tcPr>
          <w:p>
            <w:pPr>
              <w:jc w:val="right"/>
              <w:ind w:right="272"/>
              <w:spacing w:after="0"/>
              <w:rPr>
                <w:sz w:val="20"/>
                <w:szCs w:val="20"/>
                <w:color w:val="auto"/>
              </w:rPr>
            </w:pPr>
            <w:r>
              <w:rPr>
                <w:rFonts w:ascii="Arial" w:cs="Arial" w:eastAsia="Arial" w:hAnsi="Arial"/>
                <w:sz w:val="13"/>
                <w:szCs w:val="13"/>
                <w:b w:val="1"/>
                <w:bCs w:val="1"/>
                <w:color w:val="auto"/>
              </w:rPr>
              <w:t>($)</w:t>
            </w:r>
          </w:p>
        </w:tc>
        <w:tc>
          <w:tcPr>
            <w:tcW w:w="1360" w:type="dxa"/>
            <w:vAlign w:val="bottom"/>
          </w:tcPr>
          <w:p>
            <w:pPr>
              <w:jc w:val="right"/>
              <w:ind w:right="273"/>
              <w:spacing w:after="0"/>
              <w:rPr>
                <w:sz w:val="20"/>
                <w:szCs w:val="20"/>
                <w:color w:val="auto"/>
              </w:rPr>
            </w:pPr>
            <w:r>
              <w:rPr>
                <w:rFonts w:ascii="Arial" w:cs="Arial" w:eastAsia="Arial" w:hAnsi="Arial"/>
                <w:sz w:val="13"/>
                <w:szCs w:val="13"/>
                <w:b w:val="1"/>
                <w:bCs w:val="1"/>
                <w:color w:val="auto"/>
              </w:rPr>
              <w:t>($)</w:t>
            </w:r>
          </w:p>
        </w:tc>
        <w:tc>
          <w:tcPr>
            <w:tcW w:w="1220" w:type="dxa"/>
            <w:vAlign w:val="bottom"/>
          </w:tcPr>
          <w:p>
            <w:pPr>
              <w:jc w:val="right"/>
              <w:ind w:right="252"/>
              <w:spacing w:after="0"/>
              <w:rPr>
                <w:sz w:val="20"/>
                <w:szCs w:val="20"/>
                <w:color w:val="auto"/>
              </w:rPr>
            </w:pPr>
            <w:r>
              <w:rPr>
                <w:rFonts w:ascii="Arial" w:cs="Arial" w:eastAsia="Arial" w:hAnsi="Arial"/>
                <w:sz w:val="13"/>
                <w:szCs w:val="13"/>
                <w:b w:val="1"/>
                <w:bCs w:val="1"/>
                <w:color w:val="auto"/>
              </w:rPr>
              <w:t>($)</w:t>
            </w:r>
          </w:p>
        </w:tc>
        <w:tc>
          <w:tcPr>
            <w:tcW w:w="1840" w:type="dxa"/>
            <w:vAlign w:val="bottom"/>
          </w:tcPr>
          <w:p>
            <w:pPr>
              <w:jc w:val="right"/>
              <w:ind w:right="273"/>
              <w:spacing w:after="0"/>
              <w:rPr>
                <w:sz w:val="20"/>
                <w:szCs w:val="20"/>
                <w:color w:val="auto"/>
              </w:rPr>
            </w:pPr>
            <w:r>
              <w:rPr>
                <w:rFonts w:ascii="Arial" w:cs="Arial" w:eastAsia="Arial" w:hAnsi="Arial"/>
                <w:sz w:val="13"/>
                <w:szCs w:val="13"/>
                <w:b w:val="1"/>
                <w:bCs w:val="1"/>
                <w:color w:val="auto"/>
              </w:rPr>
              <w:t>($)</w:t>
            </w:r>
          </w:p>
        </w:tc>
        <w:tc>
          <w:tcPr>
            <w:tcW w:w="960" w:type="dxa"/>
            <w:vAlign w:val="bottom"/>
          </w:tcPr>
          <w:p>
            <w:pPr>
              <w:jc w:val="right"/>
              <w:ind w:right="31"/>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62"/>
        </w:trPr>
        <w:tc>
          <w:tcPr>
            <w:tcW w:w="19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84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9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b w:val="1"/>
                <w:bCs w:val="1"/>
                <w:color w:val="auto"/>
              </w:rPr>
              <w:t>Peter Bridgman</w:t>
            </w:r>
          </w:p>
        </w:tc>
        <w:tc>
          <w:tcPr>
            <w:tcW w:w="2080" w:type="dxa"/>
            <w:vAlign w:val="bottom"/>
            <w:tcBorders>
              <w:bottom w:val="single" w:sz="8" w:color="E6E6E6"/>
            </w:tcBorders>
            <w:shd w:val="clear" w:color="auto" w:fill="E6E6E6"/>
          </w:tcPr>
          <w:p>
            <w:pPr>
              <w:jc w:val="right"/>
              <w:ind w:right="272"/>
              <w:spacing w:after="0"/>
              <w:rPr>
                <w:sz w:val="20"/>
                <w:szCs w:val="20"/>
                <w:color w:val="auto"/>
              </w:rPr>
            </w:pPr>
            <w:r>
              <w:rPr>
                <w:rFonts w:ascii="Arial" w:cs="Arial" w:eastAsia="Arial" w:hAnsi="Arial"/>
                <w:sz w:val="14"/>
                <w:szCs w:val="14"/>
                <w:color w:val="auto"/>
              </w:rPr>
              <w:t>125,000</w:t>
            </w:r>
          </w:p>
        </w:tc>
        <w:tc>
          <w:tcPr>
            <w:tcW w:w="1360" w:type="dxa"/>
            <w:vAlign w:val="bottom"/>
            <w:tcBorders>
              <w:bottom w:val="single" w:sz="8" w:color="E6E6E6"/>
            </w:tcBorders>
            <w:shd w:val="clear" w:color="auto" w:fill="E6E6E6"/>
          </w:tcPr>
          <w:p>
            <w:pPr>
              <w:jc w:val="right"/>
              <w:ind w:right="273"/>
              <w:spacing w:after="0"/>
              <w:rPr>
                <w:sz w:val="20"/>
                <w:szCs w:val="20"/>
                <w:color w:val="auto"/>
              </w:rPr>
            </w:pPr>
            <w:r>
              <w:rPr>
                <w:rFonts w:ascii="Arial" w:cs="Arial" w:eastAsia="Arial" w:hAnsi="Arial"/>
                <w:sz w:val="14"/>
                <w:szCs w:val="14"/>
                <w:color w:val="auto"/>
              </w:rPr>
              <w:t>125,000</w:t>
            </w:r>
          </w:p>
        </w:tc>
        <w:tc>
          <w:tcPr>
            <w:tcW w:w="1220" w:type="dxa"/>
            <w:vAlign w:val="bottom"/>
            <w:tcBorders>
              <w:bottom w:val="single" w:sz="8" w:color="E6E6E6"/>
            </w:tcBorders>
            <w:shd w:val="clear" w:color="auto" w:fill="E6E6E6"/>
          </w:tcPr>
          <w:p>
            <w:pPr>
              <w:jc w:val="right"/>
              <w:ind w:right="252"/>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E6E6E6"/>
            </w:tcBorders>
            <w:shd w:val="clear" w:color="auto" w:fill="E6E6E6"/>
          </w:tcPr>
          <w:p>
            <w:pPr>
              <w:jc w:val="right"/>
              <w:ind w:right="273"/>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E6E6E6"/>
            </w:tcBorders>
            <w:shd w:val="clear" w:color="auto" w:fill="E6E6E6"/>
          </w:tcPr>
          <w:p>
            <w:pPr>
              <w:jc w:val="right"/>
              <w:ind w:right="31"/>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254"/>
        </w:trPr>
        <w:tc>
          <w:tcPr>
            <w:tcW w:w="1940" w:type="dxa"/>
            <w:vAlign w:val="bottom"/>
          </w:tcPr>
          <w:p>
            <w:pPr>
              <w:ind w:left="160"/>
              <w:spacing w:after="0"/>
              <w:rPr>
                <w:sz w:val="20"/>
                <w:szCs w:val="20"/>
                <w:color w:val="auto"/>
              </w:rPr>
            </w:pPr>
            <w:r>
              <w:rPr>
                <w:rFonts w:ascii="Arial" w:cs="Arial" w:eastAsia="Arial" w:hAnsi="Arial"/>
                <w:sz w:val="14"/>
                <w:szCs w:val="14"/>
                <w:b w:val="1"/>
                <w:bCs w:val="1"/>
                <w:color w:val="auto"/>
              </w:rPr>
              <w:t>Alan H. Howard</w:t>
            </w:r>
          </w:p>
        </w:tc>
        <w:tc>
          <w:tcPr>
            <w:tcW w:w="2080" w:type="dxa"/>
            <w:vAlign w:val="bottom"/>
          </w:tcPr>
          <w:p>
            <w:pPr>
              <w:jc w:val="right"/>
              <w:ind w:right="272"/>
              <w:spacing w:after="0"/>
              <w:rPr>
                <w:sz w:val="20"/>
                <w:szCs w:val="20"/>
                <w:color w:val="auto"/>
              </w:rPr>
            </w:pPr>
            <w:r>
              <w:rPr>
                <w:rFonts w:ascii="Arial" w:cs="Arial" w:eastAsia="Arial" w:hAnsi="Arial"/>
                <w:sz w:val="14"/>
                <w:szCs w:val="14"/>
                <w:color w:val="auto"/>
              </w:rPr>
              <w:t>172,500</w:t>
            </w:r>
          </w:p>
        </w:tc>
        <w:tc>
          <w:tcPr>
            <w:tcW w:w="1360" w:type="dxa"/>
            <w:vAlign w:val="bottom"/>
          </w:tcPr>
          <w:p>
            <w:pPr>
              <w:jc w:val="right"/>
              <w:ind w:right="273"/>
              <w:spacing w:after="0"/>
              <w:rPr>
                <w:sz w:val="20"/>
                <w:szCs w:val="20"/>
                <w:color w:val="auto"/>
              </w:rPr>
            </w:pPr>
            <w:r>
              <w:rPr>
                <w:rFonts w:ascii="Arial" w:cs="Arial" w:eastAsia="Arial" w:hAnsi="Arial"/>
                <w:sz w:val="14"/>
                <w:szCs w:val="14"/>
                <w:color w:val="auto"/>
              </w:rPr>
              <w:t>200,000</w:t>
            </w:r>
          </w:p>
        </w:tc>
        <w:tc>
          <w:tcPr>
            <w:tcW w:w="12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273"/>
              <w:spacing w:after="0"/>
              <w:rPr>
                <w:sz w:val="20"/>
                <w:szCs w:val="20"/>
                <w:color w:val="auto"/>
              </w:rPr>
            </w:pPr>
            <w:r>
              <w:rPr>
                <w:rFonts w:ascii="Arial" w:cs="Arial" w:eastAsia="Arial" w:hAnsi="Arial"/>
                <w:sz w:val="14"/>
                <w:szCs w:val="14"/>
                <w:color w:val="auto"/>
              </w:rPr>
              <w:t>174</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372,674</w:t>
            </w:r>
          </w:p>
        </w:tc>
        <w:tc>
          <w:tcPr>
            <w:tcW w:w="0" w:type="dxa"/>
            <w:vAlign w:val="bottom"/>
          </w:tcPr>
          <w:p>
            <w:pPr>
              <w:spacing w:after="0"/>
              <w:rPr>
                <w:sz w:val="1"/>
                <w:szCs w:val="1"/>
                <w:color w:val="auto"/>
              </w:rPr>
            </w:pPr>
          </w:p>
        </w:tc>
      </w:tr>
      <w:tr>
        <w:trPr>
          <w:trHeight w:val="56"/>
        </w:trPr>
        <w:tc>
          <w:tcPr>
            <w:tcW w:w="19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9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b w:val="1"/>
                <w:bCs w:val="1"/>
                <w:color w:val="auto"/>
              </w:rPr>
              <w:t>Richard Isserman</w:t>
            </w:r>
          </w:p>
        </w:tc>
        <w:tc>
          <w:tcPr>
            <w:tcW w:w="2080" w:type="dxa"/>
            <w:vAlign w:val="bottom"/>
            <w:tcBorders>
              <w:bottom w:val="single" w:sz="8" w:color="E6E6E6"/>
            </w:tcBorders>
            <w:shd w:val="clear" w:color="auto" w:fill="E6E6E6"/>
          </w:tcPr>
          <w:p>
            <w:pPr>
              <w:jc w:val="right"/>
              <w:ind w:right="272"/>
              <w:spacing w:after="0"/>
              <w:rPr>
                <w:sz w:val="20"/>
                <w:szCs w:val="20"/>
                <w:color w:val="auto"/>
              </w:rPr>
            </w:pPr>
            <w:r>
              <w:rPr>
                <w:rFonts w:ascii="Arial" w:cs="Arial" w:eastAsia="Arial" w:hAnsi="Arial"/>
                <w:sz w:val="14"/>
                <w:szCs w:val="14"/>
                <w:color w:val="auto"/>
              </w:rPr>
              <w:t>102,500</w:t>
            </w:r>
          </w:p>
        </w:tc>
        <w:tc>
          <w:tcPr>
            <w:tcW w:w="1360" w:type="dxa"/>
            <w:vAlign w:val="bottom"/>
            <w:tcBorders>
              <w:bottom w:val="single" w:sz="8" w:color="E6E6E6"/>
            </w:tcBorders>
            <w:shd w:val="clear" w:color="auto" w:fill="E6E6E6"/>
          </w:tcPr>
          <w:p>
            <w:pPr>
              <w:jc w:val="right"/>
              <w:ind w:right="273"/>
              <w:spacing w:after="0"/>
              <w:rPr>
                <w:sz w:val="20"/>
                <w:szCs w:val="20"/>
                <w:color w:val="auto"/>
              </w:rPr>
            </w:pPr>
            <w:r>
              <w:rPr>
                <w:rFonts w:ascii="Arial" w:cs="Arial" w:eastAsia="Arial" w:hAnsi="Arial"/>
                <w:sz w:val="14"/>
                <w:szCs w:val="14"/>
                <w:color w:val="auto"/>
              </w:rPr>
              <w:t>125,000</w:t>
            </w:r>
          </w:p>
        </w:tc>
        <w:tc>
          <w:tcPr>
            <w:tcW w:w="1220" w:type="dxa"/>
            <w:vAlign w:val="bottom"/>
            <w:tcBorders>
              <w:bottom w:val="single" w:sz="8" w:color="E6E6E6"/>
            </w:tcBorders>
            <w:shd w:val="clear" w:color="auto" w:fill="E6E6E6"/>
          </w:tcPr>
          <w:p>
            <w:pPr>
              <w:jc w:val="right"/>
              <w:ind w:right="252"/>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E6E6E6"/>
            </w:tcBorders>
            <w:shd w:val="clear" w:color="auto" w:fill="E6E6E6"/>
          </w:tcPr>
          <w:p>
            <w:pPr>
              <w:jc w:val="right"/>
              <w:ind w:right="273"/>
              <w:spacing w:after="0"/>
              <w:rPr>
                <w:sz w:val="20"/>
                <w:szCs w:val="20"/>
                <w:color w:val="auto"/>
              </w:rPr>
            </w:pPr>
            <w:r>
              <w:rPr>
                <w:rFonts w:ascii="Arial" w:cs="Arial" w:eastAsia="Arial" w:hAnsi="Arial"/>
                <w:sz w:val="14"/>
                <w:szCs w:val="14"/>
                <w:color w:val="auto"/>
              </w:rPr>
              <w:t>420</w:t>
            </w:r>
          </w:p>
        </w:tc>
        <w:tc>
          <w:tcPr>
            <w:tcW w:w="960" w:type="dxa"/>
            <w:vAlign w:val="bottom"/>
            <w:tcBorders>
              <w:bottom w:val="single" w:sz="8" w:color="E6E6E6"/>
            </w:tcBorders>
            <w:shd w:val="clear" w:color="auto" w:fill="E6E6E6"/>
          </w:tcPr>
          <w:p>
            <w:pPr>
              <w:jc w:val="right"/>
              <w:ind w:right="31"/>
              <w:spacing w:after="0"/>
              <w:rPr>
                <w:sz w:val="20"/>
                <w:szCs w:val="20"/>
                <w:color w:val="auto"/>
              </w:rPr>
            </w:pPr>
            <w:r>
              <w:rPr>
                <w:rFonts w:ascii="Arial" w:cs="Arial" w:eastAsia="Arial" w:hAnsi="Arial"/>
                <w:sz w:val="14"/>
                <w:szCs w:val="14"/>
                <w:color w:val="auto"/>
              </w:rPr>
              <w:t>227,920</w:t>
            </w:r>
          </w:p>
        </w:tc>
        <w:tc>
          <w:tcPr>
            <w:tcW w:w="0" w:type="dxa"/>
            <w:vAlign w:val="bottom"/>
          </w:tcPr>
          <w:p>
            <w:pPr>
              <w:spacing w:after="0"/>
              <w:rPr>
                <w:sz w:val="1"/>
                <w:szCs w:val="1"/>
                <w:color w:val="auto"/>
              </w:rPr>
            </w:pPr>
          </w:p>
        </w:tc>
      </w:tr>
      <w:tr>
        <w:trPr>
          <w:trHeight w:val="255"/>
        </w:trPr>
        <w:tc>
          <w:tcPr>
            <w:tcW w:w="1940" w:type="dxa"/>
            <w:vAlign w:val="bottom"/>
          </w:tcPr>
          <w:p>
            <w:pPr>
              <w:ind w:left="160"/>
              <w:spacing w:after="0"/>
              <w:rPr>
                <w:sz w:val="20"/>
                <w:szCs w:val="20"/>
                <w:color w:val="auto"/>
              </w:rPr>
            </w:pPr>
            <w:r>
              <w:rPr>
                <w:rFonts w:ascii="Arial" w:cs="Arial" w:eastAsia="Arial" w:hAnsi="Arial"/>
                <w:sz w:val="14"/>
                <w:szCs w:val="14"/>
                <w:b w:val="1"/>
                <w:bCs w:val="1"/>
                <w:color w:val="auto"/>
              </w:rPr>
              <w:t>Ann Kirschner</w:t>
            </w:r>
          </w:p>
        </w:tc>
        <w:tc>
          <w:tcPr>
            <w:tcW w:w="2080" w:type="dxa"/>
            <w:vAlign w:val="bottom"/>
          </w:tcPr>
          <w:p>
            <w:pPr>
              <w:jc w:val="right"/>
              <w:ind w:right="272"/>
              <w:spacing w:after="0"/>
              <w:rPr>
                <w:sz w:val="20"/>
                <w:szCs w:val="20"/>
                <w:color w:val="auto"/>
              </w:rPr>
            </w:pPr>
            <w:r>
              <w:rPr>
                <w:rFonts w:ascii="Arial" w:cs="Arial" w:eastAsia="Arial" w:hAnsi="Arial"/>
                <w:sz w:val="14"/>
                <w:szCs w:val="14"/>
                <w:color w:val="auto"/>
              </w:rPr>
              <w:t>117,500</w:t>
            </w:r>
          </w:p>
        </w:tc>
        <w:tc>
          <w:tcPr>
            <w:tcW w:w="1360" w:type="dxa"/>
            <w:vAlign w:val="bottom"/>
          </w:tcPr>
          <w:p>
            <w:pPr>
              <w:jc w:val="right"/>
              <w:ind w:right="273"/>
              <w:spacing w:after="0"/>
              <w:rPr>
                <w:sz w:val="20"/>
                <w:szCs w:val="20"/>
                <w:color w:val="auto"/>
              </w:rPr>
            </w:pPr>
            <w:r>
              <w:rPr>
                <w:rFonts w:ascii="Arial" w:cs="Arial" w:eastAsia="Arial" w:hAnsi="Arial"/>
                <w:sz w:val="14"/>
                <w:szCs w:val="14"/>
                <w:color w:val="auto"/>
              </w:rPr>
              <w:t>125,000</w:t>
            </w:r>
          </w:p>
        </w:tc>
        <w:tc>
          <w:tcPr>
            <w:tcW w:w="12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273"/>
              <w:spacing w:after="0"/>
              <w:rPr>
                <w:sz w:val="20"/>
                <w:szCs w:val="20"/>
                <w:color w:val="auto"/>
              </w:rPr>
            </w:pPr>
            <w:r>
              <w:rPr>
                <w:rFonts w:ascii="Arial" w:cs="Arial" w:eastAsia="Arial" w:hAnsi="Arial"/>
                <w:sz w:val="14"/>
                <w:szCs w:val="14"/>
                <w:color w:val="auto"/>
              </w:rPr>
              <w:t>925</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243,425</w:t>
            </w:r>
          </w:p>
        </w:tc>
        <w:tc>
          <w:tcPr>
            <w:tcW w:w="0" w:type="dxa"/>
            <w:vAlign w:val="bottom"/>
          </w:tcPr>
          <w:p>
            <w:pPr>
              <w:spacing w:after="0"/>
              <w:rPr>
                <w:sz w:val="1"/>
                <w:szCs w:val="1"/>
                <w:color w:val="auto"/>
              </w:rPr>
            </w:pPr>
          </w:p>
        </w:tc>
      </w:tr>
      <w:tr>
        <w:trPr>
          <w:trHeight w:val="56"/>
        </w:trPr>
        <w:tc>
          <w:tcPr>
            <w:tcW w:w="194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94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b w:val="1"/>
                <w:bCs w:val="1"/>
                <w:color w:val="auto"/>
              </w:rPr>
              <w:t>Maya Peterson</w:t>
            </w:r>
          </w:p>
        </w:tc>
        <w:tc>
          <w:tcPr>
            <w:tcW w:w="2080" w:type="dxa"/>
            <w:vAlign w:val="bottom"/>
            <w:tcBorders>
              <w:bottom w:val="single" w:sz="8" w:color="E6E6E6"/>
            </w:tcBorders>
            <w:shd w:val="clear" w:color="auto" w:fill="E6E6E6"/>
          </w:tcPr>
          <w:p>
            <w:pPr>
              <w:jc w:val="right"/>
              <w:ind w:right="272"/>
              <w:spacing w:after="0"/>
              <w:rPr>
                <w:sz w:val="20"/>
                <w:szCs w:val="20"/>
                <w:color w:val="auto"/>
              </w:rPr>
            </w:pPr>
            <w:r>
              <w:rPr>
                <w:rFonts w:ascii="Arial" w:cs="Arial" w:eastAsia="Arial" w:hAnsi="Arial"/>
                <w:sz w:val="14"/>
                <w:szCs w:val="14"/>
                <w:color w:val="auto"/>
              </w:rPr>
              <w:t>100,000</w:t>
            </w:r>
          </w:p>
        </w:tc>
        <w:tc>
          <w:tcPr>
            <w:tcW w:w="1360" w:type="dxa"/>
            <w:vAlign w:val="bottom"/>
            <w:tcBorders>
              <w:bottom w:val="single" w:sz="8" w:color="E6E6E6"/>
            </w:tcBorders>
            <w:shd w:val="clear" w:color="auto" w:fill="E6E6E6"/>
          </w:tcPr>
          <w:p>
            <w:pPr>
              <w:jc w:val="right"/>
              <w:ind w:right="273"/>
              <w:spacing w:after="0"/>
              <w:rPr>
                <w:sz w:val="20"/>
                <w:szCs w:val="20"/>
                <w:color w:val="auto"/>
              </w:rPr>
            </w:pPr>
            <w:r>
              <w:rPr>
                <w:rFonts w:ascii="Arial" w:cs="Arial" w:eastAsia="Arial" w:hAnsi="Arial"/>
                <w:sz w:val="14"/>
                <w:szCs w:val="14"/>
                <w:color w:val="auto"/>
              </w:rPr>
              <w:t>125,000</w:t>
            </w:r>
          </w:p>
        </w:tc>
        <w:tc>
          <w:tcPr>
            <w:tcW w:w="1220" w:type="dxa"/>
            <w:vAlign w:val="bottom"/>
            <w:tcBorders>
              <w:bottom w:val="single" w:sz="8" w:color="E6E6E6"/>
            </w:tcBorders>
            <w:shd w:val="clear" w:color="auto" w:fill="E6E6E6"/>
          </w:tcPr>
          <w:p>
            <w:pPr>
              <w:jc w:val="right"/>
              <w:ind w:right="252"/>
              <w:spacing w:after="0"/>
              <w:rPr>
                <w:sz w:val="20"/>
                <w:szCs w:val="20"/>
                <w:color w:val="auto"/>
              </w:rPr>
            </w:pPr>
            <w:r>
              <w:rPr>
                <w:rFonts w:ascii="Arial" w:cs="Arial" w:eastAsia="Arial" w:hAnsi="Arial"/>
                <w:sz w:val="14"/>
                <w:szCs w:val="14"/>
                <w:color w:val="auto"/>
              </w:rPr>
              <w:t>—</w:t>
            </w:r>
          </w:p>
        </w:tc>
        <w:tc>
          <w:tcPr>
            <w:tcW w:w="1840" w:type="dxa"/>
            <w:vAlign w:val="bottom"/>
            <w:tcBorders>
              <w:bottom w:val="single" w:sz="8" w:color="E6E6E6"/>
            </w:tcBorders>
            <w:shd w:val="clear" w:color="auto" w:fill="E6E6E6"/>
          </w:tcPr>
          <w:p>
            <w:pPr>
              <w:jc w:val="right"/>
              <w:ind w:right="273"/>
              <w:spacing w:after="0"/>
              <w:rPr>
                <w:sz w:val="20"/>
                <w:szCs w:val="20"/>
                <w:color w:val="auto"/>
              </w:rPr>
            </w:pPr>
            <w:r>
              <w:rPr>
                <w:rFonts w:ascii="Arial" w:cs="Arial" w:eastAsia="Arial" w:hAnsi="Arial"/>
                <w:sz w:val="14"/>
                <w:szCs w:val="14"/>
                <w:color w:val="auto"/>
              </w:rPr>
              <w:t>769</w:t>
            </w:r>
          </w:p>
        </w:tc>
        <w:tc>
          <w:tcPr>
            <w:tcW w:w="960" w:type="dxa"/>
            <w:vAlign w:val="bottom"/>
            <w:tcBorders>
              <w:bottom w:val="single" w:sz="8" w:color="E6E6E6"/>
            </w:tcBorders>
            <w:shd w:val="clear" w:color="auto" w:fill="E6E6E6"/>
          </w:tcPr>
          <w:p>
            <w:pPr>
              <w:jc w:val="right"/>
              <w:ind w:right="31"/>
              <w:spacing w:after="0"/>
              <w:rPr>
                <w:sz w:val="20"/>
                <w:szCs w:val="20"/>
                <w:color w:val="auto"/>
              </w:rPr>
            </w:pPr>
            <w:r>
              <w:rPr>
                <w:rFonts w:ascii="Arial" w:cs="Arial" w:eastAsia="Arial" w:hAnsi="Arial"/>
                <w:sz w:val="14"/>
                <w:szCs w:val="14"/>
                <w:color w:val="auto"/>
              </w:rPr>
              <w:t>225,769</w:t>
            </w:r>
          </w:p>
        </w:tc>
        <w:tc>
          <w:tcPr>
            <w:tcW w:w="0" w:type="dxa"/>
            <w:vAlign w:val="bottom"/>
          </w:tcPr>
          <w:p>
            <w:pPr>
              <w:spacing w:after="0"/>
              <w:rPr>
                <w:sz w:val="1"/>
                <w:szCs w:val="1"/>
                <w:color w:val="auto"/>
              </w:rPr>
            </w:pPr>
          </w:p>
        </w:tc>
      </w:tr>
      <w:tr>
        <w:trPr>
          <w:trHeight w:val="255"/>
        </w:trPr>
        <w:tc>
          <w:tcPr>
            <w:tcW w:w="1940" w:type="dxa"/>
            <w:vAlign w:val="bottom"/>
          </w:tcPr>
          <w:p>
            <w:pPr>
              <w:ind w:left="160"/>
              <w:spacing w:after="0"/>
              <w:rPr>
                <w:sz w:val="20"/>
                <w:szCs w:val="20"/>
                <w:color w:val="auto"/>
              </w:rPr>
            </w:pPr>
            <w:r>
              <w:rPr>
                <w:rFonts w:ascii="Arial" w:cs="Arial" w:eastAsia="Arial" w:hAnsi="Arial"/>
                <w:sz w:val="14"/>
                <w:szCs w:val="14"/>
                <w:b w:val="1"/>
                <w:bCs w:val="1"/>
                <w:color w:val="auto"/>
              </w:rPr>
              <w:t>Stephen Sadove</w:t>
            </w:r>
          </w:p>
        </w:tc>
        <w:tc>
          <w:tcPr>
            <w:tcW w:w="2080" w:type="dxa"/>
            <w:vAlign w:val="bottom"/>
          </w:tcPr>
          <w:p>
            <w:pPr>
              <w:jc w:val="right"/>
              <w:ind w:right="272"/>
              <w:spacing w:after="0"/>
              <w:rPr>
                <w:sz w:val="20"/>
                <w:szCs w:val="20"/>
                <w:color w:val="auto"/>
              </w:rPr>
            </w:pPr>
            <w:r>
              <w:rPr>
                <w:rFonts w:ascii="Arial" w:cs="Arial" w:eastAsia="Arial" w:hAnsi="Arial"/>
                <w:sz w:val="14"/>
                <w:szCs w:val="14"/>
                <w:color w:val="auto"/>
              </w:rPr>
              <w:t>112,500</w:t>
            </w:r>
          </w:p>
        </w:tc>
        <w:tc>
          <w:tcPr>
            <w:tcW w:w="1360" w:type="dxa"/>
            <w:vAlign w:val="bottom"/>
          </w:tcPr>
          <w:p>
            <w:pPr>
              <w:jc w:val="right"/>
              <w:ind w:right="273"/>
              <w:spacing w:after="0"/>
              <w:rPr>
                <w:sz w:val="20"/>
                <w:szCs w:val="20"/>
                <w:color w:val="auto"/>
              </w:rPr>
            </w:pPr>
            <w:r>
              <w:rPr>
                <w:rFonts w:ascii="Arial" w:cs="Arial" w:eastAsia="Arial" w:hAnsi="Arial"/>
                <w:sz w:val="14"/>
                <w:szCs w:val="14"/>
                <w:color w:val="auto"/>
              </w:rPr>
              <w:t>125,000</w:t>
            </w:r>
          </w:p>
        </w:tc>
        <w:tc>
          <w:tcPr>
            <w:tcW w:w="122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840" w:type="dxa"/>
            <w:vAlign w:val="bottom"/>
          </w:tcPr>
          <w:p>
            <w:pPr>
              <w:jc w:val="right"/>
              <w:ind w:right="273"/>
              <w:spacing w:after="0"/>
              <w:rPr>
                <w:sz w:val="20"/>
                <w:szCs w:val="20"/>
                <w:color w:val="auto"/>
              </w:rPr>
            </w:pPr>
            <w:r>
              <w:rPr>
                <w:rFonts w:ascii="Arial" w:cs="Arial" w:eastAsia="Arial" w:hAnsi="Arial"/>
                <w:sz w:val="14"/>
                <w:szCs w:val="14"/>
                <w:color w:val="auto"/>
              </w:rPr>
              <w:t>1,285</w:t>
            </w:r>
          </w:p>
        </w:tc>
        <w:tc>
          <w:tcPr>
            <w:tcW w:w="960" w:type="dxa"/>
            <w:vAlign w:val="bottom"/>
          </w:tcPr>
          <w:p>
            <w:pPr>
              <w:jc w:val="right"/>
              <w:ind w:right="31"/>
              <w:spacing w:after="0"/>
              <w:rPr>
                <w:sz w:val="20"/>
                <w:szCs w:val="20"/>
                <w:color w:val="auto"/>
              </w:rPr>
            </w:pPr>
            <w:r>
              <w:rPr>
                <w:rFonts w:ascii="Arial" w:cs="Arial" w:eastAsia="Arial" w:hAnsi="Arial"/>
                <w:sz w:val="14"/>
                <w:szCs w:val="14"/>
                <w:color w:val="auto"/>
              </w:rPr>
              <w:t>238,785</w:t>
            </w:r>
          </w:p>
        </w:tc>
        <w:tc>
          <w:tcPr>
            <w:tcW w:w="0" w:type="dxa"/>
            <w:vAlign w:val="bottom"/>
          </w:tcPr>
          <w:p>
            <w:pPr>
              <w:spacing w:after="0"/>
              <w:rPr>
                <w:sz w:val="1"/>
                <w:szCs w:val="1"/>
                <w:color w:val="auto"/>
              </w:rPr>
            </w:pPr>
          </w:p>
        </w:tc>
      </w:tr>
      <w:tr>
        <w:trPr>
          <w:trHeight w:val="29"/>
        </w:trPr>
        <w:tc>
          <w:tcPr>
            <w:tcW w:w="1940" w:type="dxa"/>
            <w:vAlign w:val="bottom"/>
            <w:tcBorders>
              <w:bottom w:val="single" w:sz="8" w:color="D9BA05"/>
            </w:tcBorders>
          </w:tcPr>
          <w:p>
            <w:pPr>
              <w:spacing w:after="0"/>
              <w:rPr>
                <w:sz w:val="2"/>
                <w:szCs w:val="2"/>
                <w:color w:val="auto"/>
              </w:rPr>
            </w:pPr>
          </w:p>
        </w:tc>
        <w:tc>
          <w:tcPr>
            <w:tcW w:w="2080" w:type="dxa"/>
            <w:vAlign w:val="bottom"/>
            <w:tcBorders>
              <w:bottom w:val="single" w:sz="8" w:color="D9BA05"/>
            </w:tcBorders>
          </w:tcPr>
          <w:p>
            <w:pPr>
              <w:spacing w:after="0"/>
              <w:rPr>
                <w:sz w:val="2"/>
                <w:szCs w:val="2"/>
                <w:color w:val="auto"/>
              </w:rPr>
            </w:pPr>
          </w:p>
        </w:tc>
        <w:tc>
          <w:tcPr>
            <w:tcW w:w="1360" w:type="dxa"/>
            <w:vAlign w:val="bottom"/>
            <w:tcBorders>
              <w:bottom w:val="single" w:sz="8" w:color="D9BA05"/>
            </w:tcBorders>
          </w:tcPr>
          <w:p>
            <w:pPr>
              <w:spacing w:after="0"/>
              <w:rPr>
                <w:sz w:val="2"/>
                <w:szCs w:val="2"/>
                <w:color w:val="auto"/>
              </w:rPr>
            </w:pPr>
          </w:p>
        </w:tc>
        <w:tc>
          <w:tcPr>
            <w:tcW w:w="1220" w:type="dxa"/>
            <w:vAlign w:val="bottom"/>
            <w:tcBorders>
              <w:bottom w:val="single" w:sz="8" w:color="D9BA05"/>
            </w:tcBorders>
          </w:tcPr>
          <w:p>
            <w:pPr>
              <w:spacing w:after="0"/>
              <w:rPr>
                <w:sz w:val="2"/>
                <w:szCs w:val="2"/>
                <w:color w:val="auto"/>
              </w:rPr>
            </w:pPr>
          </w:p>
        </w:tc>
        <w:tc>
          <w:tcPr>
            <w:tcW w:w="1840" w:type="dxa"/>
            <w:vAlign w:val="bottom"/>
            <w:tcBorders>
              <w:bottom w:val="single" w:sz="8" w:color="D9BA05"/>
            </w:tcBorders>
          </w:tcPr>
          <w:p>
            <w:pPr>
              <w:spacing w:after="0"/>
              <w:rPr>
                <w:sz w:val="2"/>
                <w:szCs w:val="2"/>
                <w:color w:val="auto"/>
              </w:rPr>
            </w:pPr>
          </w:p>
        </w:tc>
        <w:tc>
          <w:tcPr>
            <w:tcW w:w="960" w:type="dxa"/>
            <w:vAlign w:val="bottom"/>
            <w:tcBorders>
              <w:bottom w:val="single" w:sz="8" w:color="D9BA0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right="20" w:hanging="334"/>
        <w:spacing w:after="0" w:line="225" w:lineRule="auto"/>
        <w:tabs>
          <w:tab w:leader="none" w:pos="340" w:val="left"/>
        </w:tabs>
        <w:numPr>
          <w:ilvl w:val="0"/>
          <w:numId w:val="34"/>
        </w:numPr>
        <w:rPr>
          <w:rFonts w:ascii="Arial" w:cs="Arial" w:eastAsia="Arial" w:hAnsi="Arial"/>
          <w:sz w:val="13"/>
          <w:szCs w:val="13"/>
          <w:color w:val="333333"/>
        </w:rPr>
      </w:pPr>
      <w:r>
        <w:rPr>
          <w:rFonts w:ascii="Arial" w:cs="Arial" w:eastAsia="Arial" w:hAnsi="Arial"/>
          <w:sz w:val="13"/>
          <w:szCs w:val="13"/>
          <w:color w:val="333333"/>
        </w:rPr>
        <w:t>Amounts shown do not reflect compensation actually received by the director. Instead, the dollar value of these awards represents the fair value of the stock award on the date of grant calculated in accordance with FASB ASC Topic 718. Assumptions used in calculating these amounts are described in Note 16 to the Company’s audited financial statements for the fiscal year ended January 31, 2026, included in our Annual Report on Form 10-K filed with the SEC on March 19, 2026. Each non-employee director was granted one stock award in fiscal 2026 for 9,280 shares of the Company’s Common Stock (14,848 shares in the case of Mr. Howard, whose grant included compensation for his role as lead director). At January 31, 2026, each non-employee director held no other stock awards except this one, unvested stock award.</w:t>
      </w:r>
    </w:p>
    <w:p>
      <w:pPr>
        <w:spacing w:after="0" w:line="63" w:lineRule="exact"/>
        <w:rPr>
          <w:rFonts w:ascii="Arial" w:cs="Arial" w:eastAsia="Arial" w:hAnsi="Arial"/>
          <w:sz w:val="13"/>
          <w:szCs w:val="13"/>
          <w:color w:val="333333"/>
        </w:rPr>
      </w:pPr>
    </w:p>
    <w:p>
      <w:pPr>
        <w:ind w:left="340" w:right="20" w:hanging="334"/>
        <w:spacing w:after="0" w:line="229" w:lineRule="auto"/>
        <w:tabs>
          <w:tab w:leader="none" w:pos="340" w:val="left"/>
        </w:tabs>
        <w:numPr>
          <w:ilvl w:val="0"/>
          <w:numId w:val="34"/>
        </w:numPr>
        <w:rPr>
          <w:rFonts w:ascii="Arial" w:cs="Arial" w:eastAsia="Arial" w:hAnsi="Arial"/>
          <w:sz w:val="13"/>
          <w:szCs w:val="13"/>
          <w:color w:val="333333"/>
        </w:rPr>
      </w:pPr>
      <w:r>
        <w:rPr>
          <w:rFonts w:ascii="Arial" w:cs="Arial" w:eastAsia="Arial" w:hAnsi="Arial"/>
          <w:sz w:val="13"/>
          <w:szCs w:val="13"/>
          <w:color w:val="333333"/>
        </w:rPr>
        <w:t>Each non-employee director was provided an annual allowance for the purchase of Company watches up to an aggregate suggested retail value of $6,000. The amounts listed above reflect the actual allowance utilized by each non-employee director, at Company cost. Each director also has the ability to purchase additional Company products at a discounted price that is greater than the Company’s cost, such that there is no aggregate incremental cost associated with these purchases for purposes of perquisite disclosure.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Movado Group, Inc.        41</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ind w:right="3160"/>
        <w:spacing w:after="0" w:line="292" w:lineRule="auto"/>
        <w:rPr>
          <w:sz w:val="20"/>
          <w:szCs w:val="20"/>
          <w:color w:val="auto"/>
        </w:rPr>
      </w:pPr>
      <w:r>
        <w:rPr>
          <w:rFonts w:ascii="Arial" w:cs="Arial" w:eastAsia="Arial" w:hAnsi="Arial"/>
          <w:sz w:val="50"/>
          <w:szCs w:val="50"/>
          <w:b w:val="1"/>
          <w:bCs w:val="1"/>
          <w:color w:val="D9BA05"/>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-85090</wp:posOffset>
            </wp:positionV>
            <wp:extent cx="59664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Mr. Alex Grinberg, a member of the Board of Directors and the brother of Efraim Grinberg, is the Company’s Senior Vice President of Customer Experience in the United States and earned $340,000 in salary and a $153,000 bonus for fiscal 2026. In addition, as a participant in the Stock Plan, Mr. A. Grinberg received an award of 3,155 time-vesting restricted stock units in fiscal 2026 valued at $42,498, subject to the same terms and conditions applicable to similar awards made to the other participants in that plan.</w:t>
      </w:r>
    </w:p>
    <w:p>
      <w:pPr>
        <w:spacing w:after="0" w:line="124"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Ms. Margot Grinberg, the daughter of Efraim Grinberg, is President Movado Brand and SVP E-Commerce for the Company and earned $421,830 in salary and a $190,485 bonus for fiscal 2026. In addition, as a participant in the Stock Plan, Ms. Grinberg received an award of 15,713 time-vesting restricted stock units in fiscal 2026 valued at $211,654, subject to the same terms and conditions applicable to similar awards made to the other participants in that plan.</w:t>
      </w:r>
    </w:p>
    <w:p>
      <w:pPr>
        <w:spacing w:after="0" w:line="124"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The Board of Directors has adopted a code of business conduct and ethics which provides for the review, approval and ratification of transactions with the Company (or any of its subsidiaries) in which any officer or employee of the Company or any of its subsidiaries or any director has any direct or indirect material interest. Such transactions involving any executive officer of the Company or any member of the Board of Directors are referred to the disinterested members of the Board of Directors. Other transactions are referred to the Company’s General Counsel. In each case, the standard applied under the Company’s code is whether the transaction, when considered in the context of all the relevant facts and circumstances, including the person’s position with the Company, the nature of the transaction and the amount involved, is consistent with the best interests of the Company and its shareholders.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Movado Group, Inc.        42</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50"/>
          <w:szCs w:val="50"/>
          <w:b w:val="1"/>
          <w:bCs w:val="1"/>
          <w:color w:val="D9BA05"/>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59664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1" w:lineRule="exact"/>
        <w:rPr>
          <w:sz w:val="20"/>
          <w:szCs w:val="20"/>
          <w:color w:val="auto"/>
        </w:rPr>
      </w:pPr>
    </w:p>
    <w:p>
      <w:pPr>
        <w:ind w:right="280"/>
        <w:spacing w:after="0" w:line="286" w:lineRule="auto"/>
        <w:rPr>
          <w:sz w:val="20"/>
          <w:szCs w:val="20"/>
          <w:color w:val="auto"/>
        </w:rPr>
      </w:pPr>
      <w:r>
        <w:rPr>
          <w:rFonts w:ascii="Arial" w:cs="Arial" w:eastAsia="Arial" w:hAnsi="Arial"/>
          <w:sz w:val="16"/>
          <w:szCs w:val="16"/>
          <w:color w:val="auto"/>
        </w:rPr>
        <w:t>The table below sets forth information with respect to shares of Common Stock that may be issued under the Company’s equity compensation plans as of January 31, 2026.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45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580" w:type="dxa"/>
            <w:vAlign w:val="bottom"/>
          </w:tcPr>
          <w:p>
            <w:pPr>
              <w:jc w:val="right"/>
              <w:ind w:right="135"/>
              <w:spacing w:after="0"/>
              <w:rPr>
                <w:sz w:val="20"/>
                <w:szCs w:val="20"/>
                <w:color w:val="auto"/>
              </w:rPr>
            </w:pPr>
            <w:r>
              <w:rPr>
                <w:rFonts w:ascii="Arial" w:cs="Arial" w:eastAsia="Arial" w:hAnsi="Arial"/>
                <w:sz w:val="13"/>
                <w:szCs w:val="13"/>
                <w:b w:val="1"/>
                <w:bCs w:val="1"/>
                <w:color w:val="auto"/>
              </w:rPr>
              <w:t>NUMBER OF</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520" w:type="dxa"/>
            <w:vAlign w:val="bottom"/>
            <w:vMerge w:val="restart"/>
          </w:tcPr>
          <w:p>
            <w:pPr>
              <w:jc w:val="right"/>
              <w:ind w:right="135"/>
              <w:spacing w:after="0"/>
              <w:rPr>
                <w:sz w:val="20"/>
                <w:szCs w:val="20"/>
                <w:color w:val="auto"/>
              </w:rPr>
            </w:pPr>
            <w:r>
              <w:rPr>
                <w:rFonts w:ascii="Arial" w:cs="Arial" w:eastAsia="Arial" w:hAnsi="Arial"/>
                <w:sz w:val="13"/>
                <w:szCs w:val="13"/>
                <w:b w:val="1"/>
                <w:bCs w:val="1"/>
                <w:color w:val="auto"/>
              </w:rPr>
              <w:t>NUMBER OF</w:t>
            </w:r>
          </w:p>
        </w:tc>
        <w:tc>
          <w:tcPr>
            <w:tcW w:w="1640" w:type="dxa"/>
            <w:vAlign w:val="bottom"/>
          </w:tcPr>
          <w:p>
            <w:pPr>
              <w:spacing w:after="0"/>
              <w:rPr>
                <w:sz w:val="11"/>
                <w:szCs w:val="11"/>
                <w:color w:val="auto"/>
              </w:rPr>
            </w:pPr>
          </w:p>
        </w:tc>
        <w:tc>
          <w:tcPr>
            <w:tcW w:w="1580" w:type="dxa"/>
            <w:vAlign w:val="bottom"/>
          </w:tcPr>
          <w:p>
            <w:pPr>
              <w:jc w:val="right"/>
              <w:ind w:right="135"/>
              <w:spacing w:after="0" w:line="135"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640" w:type="dxa"/>
            <w:vAlign w:val="bottom"/>
          </w:tcPr>
          <w:p>
            <w:pPr>
              <w:spacing w:after="0"/>
              <w:rPr>
                <w:sz w:val="11"/>
                <w:szCs w:val="11"/>
                <w:color w:val="auto"/>
              </w:rPr>
            </w:pPr>
          </w:p>
        </w:tc>
        <w:tc>
          <w:tcPr>
            <w:tcW w:w="1580" w:type="dxa"/>
            <w:vAlign w:val="bottom"/>
          </w:tcPr>
          <w:p>
            <w:pPr>
              <w:jc w:val="right"/>
              <w:ind w:right="135"/>
              <w:spacing w:after="0" w:line="135" w:lineRule="exact"/>
              <w:rPr>
                <w:sz w:val="20"/>
                <w:szCs w:val="20"/>
                <w:color w:val="auto"/>
              </w:rPr>
            </w:pPr>
            <w:r>
              <w:rPr>
                <w:rFonts w:ascii="Arial" w:cs="Arial" w:eastAsia="Arial" w:hAnsi="Arial"/>
                <w:sz w:val="13"/>
                <w:szCs w:val="13"/>
                <w:b w:val="1"/>
                <w:bCs w:val="1"/>
                <w:color w:val="auto"/>
              </w:rPr>
              <w:t>REMAINING</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520" w:type="dxa"/>
            <w:vAlign w:val="bottom"/>
          </w:tcPr>
          <w:p>
            <w:pPr>
              <w:jc w:val="right"/>
              <w:ind w:right="135"/>
              <w:spacing w:after="0" w:line="135" w:lineRule="exact"/>
              <w:rPr>
                <w:sz w:val="20"/>
                <w:szCs w:val="20"/>
                <w:color w:val="auto"/>
              </w:rPr>
            </w:pPr>
            <w:r>
              <w:rPr>
                <w:rFonts w:ascii="Arial" w:cs="Arial" w:eastAsia="Arial" w:hAnsi="Arial"/>
                <w:sz w:val="13"/>
                <w:szCs w:val="13"/>
                <w:b w:val="1"/>
                <w:bCs w:val="1"/>
                <w:color w:val="auto"/>
              </w:rPr>
              <w:t>SECURITIES TO</w:t>
            </w:r>
          </w:p>
        </w:tc>
        <w:tc>
          <w:tcPr>
            <w:tcW w:w="1640" w:type="dxa"/>
            <w:vAlign w:val="bottom"/>
          </w:tcPr>
          <w:p>
            <w:pPr>
              <w:spacing w:after="0"/>
              <w:rPr>
                <w:sz w:val="11"/>
                <w:szCs w:val="11"/>
                <w:color w:val="auto"/>
              </w:rPr>
            </w:pPr>
          </w:p>
        </w:tc>
        <w:tc>
          <w:tcPr>
            <w:tcW w:w="1580" w:type="dxa"/>
            <w:vAlign w:val="bottom"/>
          </w:tcPr>
          <w:p>
            <w:pPr>
              <w:jc w:val="right"/>
              <w:ind w:right="135"/>
              <w:spacing w:after="0" w:line="135" w:lineRule="exact"/>
              <w:rPr>
                <w:sz w:val="20"/>
                <w:szCs w:val="20"/>
                <w:color w:val="auto"/>
              </w:rPr>
            </w:pPr>
            <w:r>
              <w:rPr>
                <w:rFonts w:ascii="Arial" w:cs="Arial" w:eastAsia="Arial" w:hAnsi="Arial"/>
                <w:sz w:val="13"/>
                <w:szCs w:val="13"/>
                <w:b w:val="1"/>
                <w:bCs w:val="1"/>
                <w:color w:val="auto"/>
              </w:rPr>
              <w:t>AVAILABLE FOR</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520" w:type="dxa"/>
            <w:vAlign w:val="bottom"/>
          </w:tcPr>
          <w:p>
            <w:pPr>
              <w:jc w:val="right"/>
              <w:ind w:right="95"/>
              <w:spacing w:after="0" w:line="135" w:lineRule="exact"/>
              <w:rPr>
                <w:sz w:val="20"/>
                <w:szCs w:val="20"/>
                <w:color w:val="auto"/>
              </w:rPr>
            </w:pPr>
            <w:r>
              <w:rPr>
                <w:rFonts w:ascii="Arial" w:cs="Arial" w:eastAsia="Arial" w:hAnsi="Arial"/>
                <w:sz w:val="13"/>
                <w:szCs w:val="13"/>
                <w:b w:val="1"/>
                <w:bCs w:val="1"/>
                <w:color w:val="auto"/>
              </w:rPr>
              <w:t>BE ISSUED</w:t>
            </w:r>
          </w:p>
        </w:tc>
        <w:tc>
          <w:tcPr>
            <w:tcW w:w="1640" w:type="dxa"/>
            <w:vAlign w:val="bottom"/>
            <w:vMerge w:val="restart"/>
          </w:tcPr>
          <w:p>
            <w:pPr>
              <w:jc w:val="right"/>
              <w:ind w:right="74"/>
              <w:spacing w:after="0"/>
              <w:rPr>
                <w:sz w:val="20"/>
                <w:szCs w:val="20"/>
                <w:color w:val="auto"/>
              </w:rPr>
            </w:pPr>
            <w:r>
              <w:rPr>
                <w:rFonts w:ascii="Arial" w:cs="Arial" w:eastAsia="Arial" w:hAnsi="Arial"/>
                <w:sz w:val="13"/>
                <w:szCs w:val="13"/>
                <w:b w:val="1"/>
                <w:bCs w:val="1"/>
                <w:color w:val="auto"/>
              </w:rPr>
              <w:t>WEIGHTED-AVERAGE</w:t>
            </w:r>
          </w:p>
        </w:tc>
        <w:tc>
          <w:tcPr>
            <w:tcW w:w="1580" w:type="dxa"/>
            <w:vAlign w:val="bottom"/>
          </w:tcPr>
          <w:p>
            <w:pPr>
              <w:jc w:val="right"/>
              <w:ind w:right="135"/>
              <w:spacing w:after="0" w:line="135" w:lineRule="exact"/>
              <w:rPr>
                <w:sz w:val="20"/>
                <w:szCs w:val="20"/>
                <w:color w:val="auto"/>
              </w:rPr>
            </w:pPr>
            <w:r>
              <w:rPr>
                <w:rFonts w:ascii="Arial" w:cs="Arial" w:eastAsia="Arial" w:hAnsi="Arial"/>
                <w:sz w:val="13"/>
                <w:szCs w:val="13"/>
                <w:b w:val="1"/>
                <w:bCs w:val="1"/>
                <w:color w:val="auto"/>
              </w:rPr>
              <w:t>FUTURE ISSUANCE</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520" w:type="dxa"/>
            <w:vAlign w:val="bottom"/>
          </w:tcPr>
          <w:p>
            <w:pPr>
              <w:jc w:val="right"/>
              <w:ind w:right="135"/>
              <w:spacing w:after="0" w:line="135" w:lineRule="exact"/>
              <w:rPr>
                <w:sz w:val="20"/>
                <w:szCs w:val="20"/>
                <w:color w:val="auto"/>
              </w:rPr>
            </w:pPr>
            <w:r>
              <w:rPr>
                <w:rFonts w:ascii="Arial" w:cs="Arial" w:eastAsia="Arial" w:hAnsi="Arial"/>
                <w:sz w:val="13"/>
                <w:szCs w:val="13"/>
                <w:b w:val="1"/>
                <w:bCs w:val="1"/>
                <w:color w:val="auto"/>
              </w:rPr>
              <w:t>UPON</w:t>
            </w:r>
          </w:p>
        </w:tc>
        <w:tc>
          <w:tcPr>
            <w:tcW w:w="1640" w:type="dxa"/>
            <w:vAlign w:val="bottom"/>
            <w:vMerge w:val="continue"/>
          </w:tcPr>
          <w:p>
            <w:pPr>
              <w:spacing w:after="0"/>
              <w:rPr>
                <w:sz w:val="11"/>
                <w:szCs w:val="11"/>
                <w:color w:val="auto"/>
              </w:rPr>
            </w:pPr>
          </w:p>
        </w:tc>
        <w:tc>
          <w:tcPr>
            <w:tcW w:w="1580" w:type="dxa"/>
            <w:vAlign w:val="bottom"/>
          </w:tcPr>
          <w:p>
            <w:pPr>
              <w:jc w:val="right"/>
              <w:ind w:right="135"/>
              <w:spacing w:after="0" w:line="135" w:lineRule="exact"/>
              <w:rPr>
                <w:sz w:val="20"/>
                <w:szCs w:val="20"/>
                <w:color w:val="auto"/>
              </w:rPr>
            </w:pPr>
            <w:r>
              <w:rPr>
                <w:rFonts w:ascii="Arial" w:cs="Arial" w:eastAsia="Arial" w:hAnsi="Arial"/>
                <w:sz w:val="13"/>
                <w:szCs w:val="13"/>
                <w:b w:val="1"/>
                <w:bCs w:val="1"/>
                <w:color w:val="auto"/>
              </w:rPr>
              <w:t>UNDER EQUITY</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520" w:type="dxa"/>
            <w:vAlign w:val="bottom"/>
          </w:tcPr>
          <w:p>
            <w:pPr>
              <w:jc w:val="right"/>
              <w:ind w:right="135"/>
              <w:spacing w:after="0" w:line="135" w:lineRule="exact"/>
              <w:rPr>
                <w:sz w:val="20"/>
                <w:szCs w:val="20"/>
                <w:color w:val="auto"/>
              </w:rPr>
            </w:pPr>
            <w:r>
              <w:rPr>
                <w:rFonts w:ascii="Arial" w:cs="Arial" w:eastAsia="Arial" w:hAnsi="Arial"/>
                <w:sz w:val="13"/>
                <w:szCs w:val="13"/>
                <w:b w:val="1"/>
                <w:bCs w:val="1"/>
                <w:color w:val="auto"/>
              </w:rPr>
              <w:t>EXERCISE OF</w:t>
            </w:r>
          </w:p>
        </w:tc>
        <w:tc>
          <w:tcPr>
            <w:tcW w:w="1640" w:type="dxa"/>
            <w:vAlign w:val="bottom"/>
          </w:tcPr>
          <w:p>
            <w:pPr>
              <w:jc w:val="right"/>
              <w:ind w:right="114"/>
              <w:spacing w:after="0" w:line="135" w:lineRule="exact"/>
              <w:rPr>
                <w:sz w:val="20"/>
                <w:szCs w:val="20"/>
                <w:color w:val="auto"/>
              </w:rPr>
            </w:pPr>
            <w:r>
              <w:rPr>
                <w:rFonts w:ascii="Arial" w:cs="Arial" w:eastAsia="Arial" w:hAnsi="Arial"/>
                <w:sz w:val="13"/>
                <w:szCs w:val="13"/>
                <w:b w:val="1"/>
                <w:bCs w:val="1"/>
                <w:color w:val="auto"/>
              </w:rPr>
              <w:t>EXERCISE PRICE OF</w:t>
            </w:r>
          </w:p>
        </w:tc>
        <w:tc>
          <w:tcPr>
            <w:tcW w:w="1580" w:type="dxa"/>
            <w:vAlign w:val="bottom"/>
          </w:tcPr>
          <w:p>
            <w:pPr>
              <w:jc w:val="right"/>
              <w:ind w:right="135"/>
              <w:spacing w:after="0" w:line="135" w:lineRule="exact"/>
              <w:rPr>
                <w:sz w:val="20"/>
                <w:szCs w:val="20"/>
                <w:color w:val="auto"/>
              </w:rPr>
            </w:pPr>
            <w:r>
              <w:rPr>
                <w:rFonts w:ascii="Arial" w:cs="Arial" w:eastAsia="Arial" w:hAnsi="Arial"/>
                <w:sz w:val="13"/>
                <w:szCs w:val="13"/>
                <w:b w:val="1"/>
                <w:bCs w:val="1"/>
                <w:color w:val="auto"/>
              </w:rPr>
              <w:t>COMPENSATION</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520" w:type="dxa"/>
            <w:vAlign w:val="bottom"/>
          </w:tcPr>
          <w:p>
            <w:pPr>
              <w:jc w:val="right"/>
              <w:ind w:right="135"/>
              <w:spacing w:after="0" w:line="135" w:lineRule="exact"/>
              <w:rPr>
                <w:sz w:val="20"/>
                <w:szCs w:val="20"/>
                <w:color w:val="auto"/>
              </w:rPr>
            </w:pPr>
            <w:r>
              <w:rPr>
                <w:rFonts w:ascii="Arial" w:cs="Arial" w:eastAsia="Arial" w:hAnsi="Arial"/>
                <w:sz w:val="13"/>
                <w:szCs w:val="13"/>
                <w:b w:val="1"/>
                <w:bCs w:val="1"/>
                <w:color w:val="auto"/>
              </w:rPr>
              <w:t>OUTSTANDING</w:t>
            </w:r>
          </w:p>
        </w:tc>
        <w:tc>
          <w:tcPr>
            <w:tcW w:w="1640" w:type="dxa"/>
            <w:vAlign w:val="bottom"/>
          </w:tcPr>
          <w:p>
            <w:pPr>
              <w:jc w:val="right"/>
              <w:ind w:right="114"/>
              <w:spacing w:after="0" w:line="135" w:lineRule="exact"/>
              <w:rPr>
                <w:sz w:val="20"/>
                <w:szCs w:val="20"/>
                <w:color w:val="auto"/>
              </w:rPr>
            </w:pPr>
            <w:r>
              <w:rPr>
                <w:rFonts w:ascii="Arial" w:cs="Arial" w:eastAsia="Arial" w:hAnsi="Arial"/>
                <w:sz w:val="13"/>
                <w:szCs w:val="13"/>
                <w:b w:val="1"/>
                <w:bCs w:val="1"/>
                <w:color w:val="auto"/>
              </w:rPr>
              <w:t>OUTSTANDING</w:t>
            </w:r>
          </w:p>
        </w:tc>
        <w:tc>
          <w:tcPr>
            <w:tcW w:w="1580" w:type="dxa"/>
            <w:vAlign w:val="bottom"/>
          </w:tcPr>
          <w:p>
            <w:pPr>
              <w:jc w:val="right"/>
              <w:ind w:right="115"/>
              <w:spacing w:after="0" w:line="135" w:lineRule="exact"/>
              <w:rPr>
                <w:sz w:val="20"/>
                <w:szCs w:val="20"/>
                <w:color w:val="auto"/>
              </w:rPr>
            </w:pPr>
            <w:r>
              <w:rPr>
                <w:rFonts w:ascii="Arial" w:cs="Arial" w:eastAsia="Arial" w:hAnsi="Arial"/>
                <w:sz w:val="13"/>
                <w:szCs w:val="13"/>
                <w:b w:val="1"/>
                <w:bCs w:val="1"/>
                <w:color w:val="auto"/>
              </w:rPr>
              <w:t>PLANS (EXCLUDING</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520" w:type="dxa"/>
            <w:vAlign w:val="bottom"/>
          </w:tcPr>
          <w:p>
            <w:pPr>
              <w:jc w:val="right"/>
              <w:ind w:right="135"/>
              <w:spacing w:after="0" w:line="135" w:lineRule="exact"/>
              <w:rPr>
                <w:sz w:val="20"/>
                <w:szCs w:val="20"/>
                <w:color w:val="auto"/>
              </w:rPr>
            </w:pPr>
            <w:r>
              <w:rPr>
                <w:rFonts w:ascii="Arial" w:cs="Arial" w:eastAsia="Arial" w:hAnsi="Arial"/>
                <w:sz w:val="13"/>
                <w:szCs w:val="13"/>
                <w:b w:val="1"/>
                <w:bCs w:val="1"/>
                <w:color w:val="auto"/>
              </w:rPr>
              <w:t>OPTIONS,</w:t>
            </w:r>
          </w:p>
        </w:tc>
        <w:tc>
          <w:tcPr>
            <w:tcW w:w="1640" w:type="dxa"/>
            <w:vAlign w:val="bottom"/>
          </w:tcPr>
          <w:p>
            <w:pPr>
              <w:jc w:val="right"/>
              <w:ind w:right="74"/>
              <w:spacing w:after="0" w:line="135" w:lineRule="exact"/>
              <w:rPr>
                <w:sz w:val="20"/>
                <w:szCs w:val="20"/>
                <w:color w:val="auto"/>
              </w:rPr>
            </w:pPr>
            <w:r>
              <w:rPr>
                <w:rFonts w:ascii="Arial" w:cs="Arial" w:eastAsia="Arial" w:hAnsi="Arial"/>
                <w:sz w:val="13"/>
                <w:szCs w:val="13"/>
                <w:b w:val="1"/>
                <w:bCs w:val="1"/>
                <w:color w:val="auto"/>
              </w:rPr>
              <w:t>OPTIONS,</w:t>
            </w:r>
          </w:p>
        </w:tc>
        <w:tc>
          <w:tcPr>
            <w:tcW w:w="1580" w:type="dxa"/>
            <w:vAlign w:val="bottom"/>
          </w:tcPr>
          <w:p>
            <w:pPr>
              <w:jc w:val="right"/>
              <w:ind w:right="135"/>
              <w:spacing w:after="0" w:line="135"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520" w:type="dxa"/>
            <w:vAlign w:val="bottom"/>
          </w:tcPr>
          <w:p>
            <w:pPr>
              <w:jc w:val="right"/>
              <w:ind w:right="95"/>
              <w:spacing w:after="0" w:line="135" w:lineRule="exact"/>
              <w:rPr>
                <w:sz w:val="20"/>
                <w:szCs w:val="20"/>
                <w:color w:val="auto"/>
              </w:rPr>
            </w:pPr>
            <w:r>
              <w:rPr>
                <w:rFonts w:ascii="Arial" w:cs="Arial" w:eastAsia="Arial" w:hAnsi="Arial"/>
                <w:sz w:val="13"/>
                <w:szCs w:val="13"/>
                <w:b w:val="1"/>
                <w:bCs w:val="1"/>
                <w:color w:val="auto"/>
              </w:rPr>
              <w:t>WARRANTS AND</w:t>
            </w:r>
          </w:p>
        </w:tc>
        <w:tc>
          <w:tcPr>
            <w:tcW w:w="1640" w:type="dxa"/>
            <w:vAlign w:val="bottom"/>
          </w:tcPr>
          <w:p>
            <w:pPr>
              <w:jc w:val="right"/>
              <w:ind w:right="114"/>
              <w:spacing w:after="0" w:line="135" w:lineRule="exact"/>
              <w:rPr>
                <w:sz w:val="20"/>
                <w:szCs w:val="20"/>
                <w:color w:val="auto"/>
              </w:rPr>
            </w:pPr>
            <w:r>
              <w:rPr>
                <w:rFonts w:ascii="Arial" w:cs="Arial" w:eastAsia="Arial" w:hAnsi="Arial"/>
                <w:sz w:val="13"/>
                <w:szCs w:val="13"/>
                <w:b w:val="1"/>
                <w:bCs w:val="1"/>
                <w:color w:val="auto"/>
              </w:rPr>
              <w:t>WARRANTS</w:t>
            </w:r>
          </w:p>
        </w:tc>
        <w:tc>
          <w:tcPr>
            <w:tcW w:w="1580" w:type="dxa"/>
            <w:vAlign w:val="bottom"/>
          </w:tcPr>
          <w:p>
            <w:pPr>
              <w:jc w:val="right"/>
              <w:ind w:right="135"/>
              <w:spacing w:after="0" w:line="135" w:lineRule="exact"/>
              <w:rPr>
                <w:sz w:val="20"/>
                <w:szCs w:val="20"/>
                <w:color w:val="auto"/>
              </w:rPr>
            </w:pPr>
            <w:r>
              <w:rPr>
                <w:rFonts w:ascii="Arial" w:cs="Arial" w:eastAsia="Arial" w:hAnsi="Arial"/>
                <w:sz w:val="13"/>
                <w:szCs w:val="13"/>
                <w:b w:val="1"/>
                <w:bCs w:val="1"/>
                <w:color w:val="auto"/>
              </w:rPr>
              <w:t>REFLECTED IN</w:t>
            </w: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45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PLAN CATEGORY</w:t>
            </w:r>
          </w:p>
        </w:tc>
        <w:tc>
          <w:tcPr>
            <w:tcW w:w="1520" w:type="dxa"/>
            <w:vAlign w:val="bottom"/>
          </w:tcPr>
          <w:p>
            <w:pPr>
              <w:jc w:val="right"/>
              <w:ind w:right="95"/>
              <w:spacing w:after="0" w:line="135" w:lineRule="exact"/>
              <w:rPr>
                <w:sz w:val="20"/>
                <w:szCs w:val="20"/>
                <w:color w:val="auto"/>
              </w:rPr>
            </w:pPr>
            <w:r>
              <w:rPr>
                <w:rFonts w:ascii="Arial" w:cs="Arial" w:eastAsia="Arial" w:hAnsi="Arial"/>
                <w:sz w:val="13"/>
                <w:szCs w:val="13"/>
                <w:b w:val="1"/>
                <w:bCs w:val="1"/>
                <w:color w:val="auto"/>
              </w:rPr>
              <w:t>RIGHTS</w:t>
            </w:r>
          </w:p>
        </w:tc>
        <w:tc>
          <w:tcPr>
            <w:tcW w:w="1640" w:type="dxa"/>
            <w:vAlign w:val="bottom"/>
          </w:tcPr>
          <w:p>
            <w:pPr>
              <w:jc w:val="right"/>
              <w:ind w:right="74"/>
              <w:spacing w:after="0" w:line="135" w:lineRule="exact"/>
              <w:rPr>
                <w:sz w:val="20"/>
                <w:szCs w:val="20"/>
                <w:color w:val="auto"/>
              </w:rPr>
            </w:pPr>
            <w:r>
              <w:rPr>
                <w:rFonts w:ascii="Arial" w:cs="Arial" w:eastAsia="Arial" w:hAnsi="Arial"/>
                <w:sz w:val="13"/>
                <w:szCs w:val="13"/>
                <w:b w:val="1"/>
                <w:bCs w:val="1"/>
                <w:color w:val="auto"/>
              </w:rPr>
              <w:t>AND RIGHTS</w:t>
            </w:r>
          </w:p>
        </w:tc>
        <w:tc>
          <w:tcPr>
            <w:tcW w:w="1580" w:type="dxa"/>
            <w:vAlign w:val="bottom"/>
          </w:tcPr>
          <w:p>
            <w:pPr>
              <w:jc w:val="right"/>
              <w:ind w:right="115"/>
              <w:spacing w:after="0" w:line="135" w:lineRule="exact"/>
              <w:rPr>
                <w:sz w:val="20"/>
                <w:szCs w:val="20"/>
                <w:color w:val="auto"/>
              </w:rPr>
            </w:pPr>
            <w:r>
              <w:rPr>
                <w:rFonts w:ascii="Arial" w:cs="Arial" w:eastAsia="Arial" w:hAnsi="Arial"/>
                <w:sz w:val="13"/>
                <w:szCs w:val="13"/>
                <w:b w:val="1"/>
                <w:bCs w:val="1"/>
                <w:color w:val="auto"/>
              </w:rPr>
              <w:t>COLUMN (A))</w:t>
            </w:r>
          </w:p>
        </w:tc>
        <w:tc>
          <w:tcPr>
            <w:tcW w:w="0" w:type="dxa"/>
            <w:vAlign w:val="bottom"/>
          </w:tcPr>
          <w:p>
            <w:pPr>
              <w:spacing w:after="0"/>
              <w:rPr>
                <w:sz w:val="1"/>
                <w:szCs w:val="1"/>
                <w:color w:val="auto"/>
              </w:rPr>
            </w:pPr>
          </w:p>
        </w:tc>
      </w:tr>
      <w:tr>
        <w:trPr>
          <w:trHeight w:val="172"/>
        </w:trPr>
        <w:tc>
          <w:tcPr>
            <w:tcW w:w="120" w:type="dxa"/>
            <w:vAlign w:val="bottom"/>
          </w:tcPr>
          <w:p>
            <w:pPr>
              <w:spacing w:after="0"/>
              <w:rPr>
                <w:sz w:val="14"/>
                <w:szCs w:val="14"/>
                <w:color w:val="auto"/>
              </w:rPr>
            </w:pPr>
          </w:p>
        </w:tc>
        <w:tc>
          <w:tcPr>
            <w:tcW w:w="4540" w:type="dxa"/>
            <w:vAlign w:val="bottom"/>
            <w:vMerge w:val="continue"/>
          </w:tcPr>
          <w:p>
            <w:pPr>
              <w:spacing w:after="0"/>
              <w:rPr>
                <w:sz w:val="14"/>
                <w:szCs w:val="14"/>
                <w:color w:val="auto"/>
              </w:rPr>
            </w:pPr>
          </w:p>
        </w:tc>
        <w:tc>
          <w:tcPr>
            <w:tcW w:w="1520" w:type="dxa"/>
            <w:vAlign w:val="bottom"/>
          </w:tcPr>
          <w:p>
            <w:pPr>
              <w:jc w:val="right"/>
              <w:ind w:right="95"/>
              <w:spacing w:after="0"/>
              <w:rPr>
                <w:sz w:val="20"/>
                <w:szCs w:val="20"/>
                <w:color w:val="auto"/>
              </w:rPr>
            </w:pPr>
            <w:r>
              <w:rPr>
                <w:rFonts w:ascii="Arial" w:cs="Arial" w:eastAsia="Arial" w:hAnsi="Arial"/>
                <w:sz w:val="13"/>
                <w:szCs w:val="13"/>
                <w:b w:val="1"/>
                <w:bCs w:val="1"/>
                <w:color w:val="auto"/>
              </w:rPr>
              <w:t>(A)</w:t>
            </w:r>
          </w:p>
        </w:tc>
        <w:tc>
          <w:tcPr>
            <w:tcW w:w="1640" w:type="dxa"/>
            <w:vAlign w:val="bottom"/>
          </w:tcPr>
          <w:p>
            <w:pPr>
              <w:jc w:val="right"/>
              <w:ind w:right="74"/>
              <w:spacing w:after="0"/>
              <w:rPr>
                <w:sz w:val="20"/>
                <w:szCs w:val="20"/>
                <w:color w:val="auto"/>
              </w:rPr>
            </w:pPr>
            <w:r>
              <w:rPr>
                <w:rFonts w:ascii="Arial" w:cs="Arial" w:eastAsia="Arial" w:hAnsi="Arial"/>
                <w:sz w:val="13"/>
                <w:szCs w:val="13"/>
                <w:b w:val="1"/>
                <w:bCs w:val="1"/>
                <w:color w:val="auto"/>
              </w:rPr>
              <w:t>(B)</w:t>
            </w:r>
          </w:p>
        </w:tc>
        <w:tc>
          <w:tcPr>
            <w:tcW w:w="1580" w:type="dxa"/>
            <w:vAlign w:val="bottom"/>
          </w:tcPr>
          <w:p>
            <w:pPr>
              <w:jc w:val="right"/>
              <w:ind w:right="115"/>
              <w:spacing w:after="0"/>
              <w:rPr>
                <w:sz w:val="20"/>
                <w:szCs w:val="20"/>
                <w:color w:val="auto"/>
              </w:rPr>
            </w:pPr>
            <w:r>
              <w:rPr>
                <w:rFonts w:ascii="Arial" w:cs="Arial" w:eastAsia="Arial" w:hAnsi="Arial"/>
                <w:sz w:val="13"/>
                <w:szCs w:val="13"/>
                <w:b w:val="1"/>
                <w:bCs w:val="1"/>
                <w:color w:val="auto"/>
              </w:rPr>
              <w:t>(C)</w:t>
            </w:r>
          </w:p>
        </w:tc>
        <w:tc>
          <w:tcPr>
            <w:tcW w:w="0" w:type="dxa"/>
            <w:vAlign w:val="bottom"/>
          </w:tcPr>
          <w:p>
            <w:pPr>
              <w:spacing w:after="0"/>
              <w:rPr>
                <w:sz w:val="1"/>
                <w:szCs w:val="1"/>
                <w:color w:val="auto"/>
              </w:rPr>
            </w:pPr>
          </w:p>
        </w:tc>
      </w:tr>
      <w:tr>
        <w:trPr>
          <w:trHeight w:val="62"/>
        </w:trPr>
        <w:tc>
          <w:tcPr>
            <w:tcW w:w="120" w:type="dxa"/>
            <w:vAlign w:val="bottom"/>
          </w:tcPr>
          <w:p>
            <w:pPr>
              <w:spacing w:after="0"/>
              <w:rPr>
                <w:sz w:val="5"/>
                <w:szCs w:val="5"/>
                <w:color w:val="auto"/>
              </w:rPr>
            </w:pPr>
          </w:p>
        </w:tc>
        <w:tc>
          <w:tcPr>
            <w:tcW w:w="45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120" w:type="dxa"/>
            <w:vAlign w:val="bottom"/>
            <w:shd w:val="clear" w:color="auto" w:fill="E6E6E6"/>
          </w:tcPr>
          <w:p>
            <w:pPr>
              <w:spacing w:after="0"/>
              <w:rPr>
                <w:sz w:val="24"/>
                <w:szCs w:val="24"/>
                <w:color w:val="auto"/>
              </w:rPr>
            </w:pPr>
          </w:p>
        </w:tc>
        <w:tc>
          <w:tcPr>
            <w:tcW w:w="4540" w:type="dxa"/>
            <w:vAlign w:val="bottom"/>
            <w:shd w:val="clear" w:color="auto" w:fill="E6E6E6"/>
          </w:tcPr>
          <w:p>
            <w:pPr>
              <w:ind w:left="40"/>
              <w:spacing w:after="0"/>
              <w:rPr>
                <w:sz w:val="20"/>
                <w:szCs w:val="20"/>
                <w:color w:val="auto"/>
              </w:rPr>
            </w:pPr>
            <w:r>
              <w:rPr>
                <w:rFonts w:ascii="Arial" w:cs="Arial" w:eastAsia="Arial" w:hAnsi="Arial"/>
                <w:sz w:val="14"/>
                <w:szCs w:val="14"/>
                <w:b w:val="1"/>
                <w:bCs w:val="1"/>
                <w:color w:val="auto"/>
              </w:rPr>
              <w:t>Equity compensation plans approved by security holders</w:t>
            </w:r>
            <w:r>
              <w:rPr>
                <w:rFonts w:ascii="Arial" w:cs="Arial" w:eastAsia="Arial" w:hAnsi="Arial"/>
                <w:sz w:val="23"/>
                <w:szCs w:val="23"/>
                <w:b w:val="1"/>
                <w:bCs w:val="1"/>
                <w:color w:val="auto"/>
                <w:vertAlign w:val="superscript"/>
              </w:rPr>
              <w:t>(1)</w:t>
            </w:r>
          </w:p>
        </w:tc>
        <w:tc>
          <w:tcPr>
            <w:tcW w:w="1520" w:type="dxa"/>
            <w:vAlign w:val="bottom"/>
            <w:shd w:val="clear" w:color="auto" w:fill="E6E6E6"/>
          </w:tcPr>
          <w:p>
            <w:pPr>
              <w:jc w:val="right"/>
              <w:ind w:right="95"/>
              <w:spacing w:after="0"/>
              <w:rPr>
                <w:sz w:val="20"/>
                <w:szCs w:val="20"/>
                <w:color w:val="auto"/>
              </w:rPr>
            </w:pPr>
            <w:r>
              <w:rPr>
                <w:rFonts w:ascii="Arial" w:cs="Arial" w:eastAsia="Arial" w:hAnsi="Arial"/>
                <w:sz w:val="14"/>
                <w:szCs w:val="14"/>
                <w:color w:val="auto"/>
              </w:rPr>
              <w:t>1,985,565</w:t>
            </w:r>
            <w:r>
              <w:rPr>
                <w:rFonts w:ascii="Arial" w:cs="Arial" w:eastAsia="Arial" w:hAnsi="Arial"/>
                <w:sz w:val="23"/>
                <w:szCs w:val="23"/>
                <w:color w:val="auto"/>
                <w:vertAlign w:val="superscript"/>
              </w:rPr>
              <w:t>(2)</w:t>
            </w:r>
          </w:p>
        </w:tc>
        <w:tc>
          <w:tcPr>
            <w:tcW w:w="1640" w:type="dxa"/>
            <w:vAlign w:val="bottom"/>
            <w:shd w:val="clear" w:color="auto" w:fill="E6E6E6"/>
          </w:tcPr>
          <w:p>
            <w:pPr>
              <w:jc w:val="right"/>
              <w:ind w:right="74"/>
              <w:spacing w:after="0"/>
              <w:rPr>
                <w:sz w:val="20"/>
                <w:szCs w:val="20"/>
                <w:color w:val="auto"/>
              </w:rPr>
            </w:pPr>
            <w:r>
              <w:rPr>
                <w:rFonts w:ascii="Arial" w:cs="Arial" w:eastAsia="Arial" w:hAnsi="Arial"/>
                <w:sz w:val="14"/>
                <w:szCs w:val="14"/>
                <w:color w:val="auto"/>
              </w:rPr>
              <w:t>$23.16</w:t>
            </w:r>
            <w:r>
              <w:rPr>
                <w:rFonts w:ascii="Arial" w:cs="Arial" w:eastAsia="Arial" w:hAnsi="Arial"/>
                <w:sz w:val="23"/>
                <w:szCs w:val="23"/>
                <w:color w:val="auto"/>
                <w:vertAlign w:val="superscript"/>
              </w:rPr>
              <w:t>(3)</w:t>
            </w:r>
          </w:p>
        </w:tc>
        <w:tc>
          <w:tcPr>
            <w:tcW w:w="1580" w:type="dxa"/>
            <w:vAlign w:val="bottom"/>
            <w:shd w:val="clear" w:color="auto" w:fill="E6E6E6"/>
          </w:tcPr>
          <w:p>
            <w:pPr>
              <w:jc w:val="right"/>
              <w:ind w:right="115"/>
              <w:spacing w:after="0"/>
              <w:rPr>
                <w:sz w:val="20"/>
                <w:szCs w:val="20"/>
                <w:color w:val="auto"/>
              </w:rPr>
            </w:pPr>
            <w:r>
              <w:rPr>
                <w:rFonts w:ascii="Arial" w:cs="Arial" w:eastAsia="Arial" w:hAnsi="Arial"/>
                <w:sz w:val="14"/>
                <w:szCs w:val="14"/>
                <w:color w:val="auto"/>
              </w:rPr>
              <w:t>922,501</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54"/>
        </w:trPr>
        <w:tc>
          <w:tcPr>
            <w:tcW w:w="120" w:type="dxa"/>
            <w:vAlign w:val="bottom"/>
          </w:tcPr>
          <w:p>
            <w:pPr>
              <w:spacing w:after="0"/>
              <w:rPr>
                <w:sz w:val="22"/>
                <w:szCs w:val="22"/>
                <w:color w:val="auto"/>
              </w:rPr>
            </w:pPr>
          </w:p>
        </w:tc>
        <w:tc>
          <w:tcPr>
            <w:tcW w:w="4540" w:type="dxa"/>
            <w:vAlign w:val="bottom"/>
          </w:tcPr>
          <w:p>
            <w:pPr>
              <w:ind w:left="40"/>
              <w:spacing w:after="0"/>
              <w:rPr>
                <w:sz w:val="20"/>
                <w:szCs w:val="20"/>
                <w:color w:val="auto"/>
              </w:rPr>
            </w:pPr>
            <w:r>
              <w:rPr>
                <w:rFonts w:ascii="Arial" w:cs="Arial" w:eastAsia="Arial" w:hAnsi="Arial"/>
                <w:sz w:val="14"/>
                <w:szCs w:val="14"/>
                <w:b w:val="1"/>
                <w:bCs w:val="1"/>
                <w:color w:val="auto"/>
              </w:rPr>
              <w:t>Equity compensation plans not approved by security holders</w:t>
            </w:r>
          </w:p>
        </w:tc>
        <w:tc>
          <w:tcPr>
            <w:tcW w:w="1520" w:type="dxa"/>
            <w:vAlign w:val="bottom"/>
          </w:tcPr>
          <w:p>
            <w:pPr>
              <w:jc w:val="right"/>
              <w:ind w:right="95"/>
              <w:spacing w:after="0"/>
              <w:rPr>
                <w:sz w:val="20"/>
                <w:szCs w:val="20"/>
                <w:color w:val="auto"/>
              </w:rPr>
            </w:pPr>
            <w:r>
              <w:rPr>
                <w:rFonts w:ascii="Arial" w:cs="Arial" w:eastAsia="Arial" w:hAnsi="Arial"/>
                <w:sz w:val="14"/>
                <w:szCs w:val="14"/>
                <w:color w:val="auto"/>
              </w:rPr>
              <w:t>—</w:t>
            </w:r>
          </w:p>
        </w:tc>
        <w:tc>
          <w:tcPr>
            <w:tcW w:w="1640" w:type="dxa"/>
            <w:vAlign w:val="bottom"/>
          </w:tcPr>
          <w:p>
            <w:pPr>
              <w:jc w:val="right"/>
              <w:ind w:right="74"/>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11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6"/>
        </w:trPr>
        <w:tc>
          <w:tcPr>
            <w:tcW w:w="120" w:type="dxa"/>
            <w:vAlign w:val="bottom"/>
          </w:tcPr>
          <w:p>
            <w:pPr>
              <w:spacing w:after="0"/>
              <w:rPr>
                <w:sz w:val="4"/>
                <w:szCs w:val="4"/>
                <w:color w:val="auto"/>
              </w:rPr>
            </w:pPr>
          </w:p>
        </w:tc>
        <w:tc>
          <w:tcPr>
            <w:tcW w:w="454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20" w:type="dxa"/>
            <w:vAlign w:val="bottom"/>
            <w:tcBorders>
              <w:bottom w:val="single" w:sz="8" w:color="E6E6E6"/>
            </w:tcBorders>
            <w:shd w:val="clear" w:color="auto" w:fill="E6E6E6"/>
          </w:tcPr>
          <w:p>
            <w:pPr>
              <w:spacing w:after="0"/>
              <w:rPr>
                <w:sz w:val="22"/>
                <w:szCs w:val="22"/>
                <w:color w:val="auto"/>
              </w:rPr>
            </w:pPr>
          </w:p>
        </w:tc>
        <w:tc>
          <w:tcPr>
            <w:tcW w:w="4540" w:type="dxa"/>
            <w:vAlign w:val="bottom"/>
            <w:tcBorders>
              <w:bottom w:val="single" w:sz="8" w:color="E6E6E6"/>
            </w:tcBorders>
            <w:shd w:val="clear" w:color="auto" w:fill="E6E6E6"/>
          </w:tcPr>
          <w:p>
            <w:pPr>
              <w:ind w:left="40"/>
              <w:spacing w:after="0"/>
              <w:rPr>
                <w:sz w:val="20"/>
                <w:szCs w:val="20"/>
                <w:color w:val="auto"/>
              </w:rPr>
            </w:pPr>
            <w:r>
              <w:rPr>
                <w:rFonts w:ascii="Arial" w:cs="Arial" w:eastAsia="Arial" w:hAnsi="Arial"/>
                <w:sz w:val="14"/>
                <w:szCs w:val="14"/>
                <w:b w:val="1"/>
                <w:bCs w:val="1"/>
                <w:color w:val="auto"/>
              </w:rPr>
              <w:t>Total</w:t>
            </w:r>
          </w:p>
        </w:tc>
        <w:tc>
          <w:tcPr>
            <w:tcW w:w="1520" w:type="dxa"/>
            <w:vAlign w:val="bottom"/>
            <w:tcBorders>
              <w:bottom w:val="single" w:sz="8" w:color="E6E6E6"/>
            </w:tcBorders>
            <w:shd w:val="clear" w:color="auto" w:fill="E6E6E6"/>
          </w:tcPr>
          <w:p>
            <w:pPr>
              <w:jc w:val="right"/>
              <w:ind w:right="95"/>
              <w:spacing w:after="0"/>
              <w:rPr>
                <w:sz w:val="20"/>
                <w:szCs w:val="20"/>
                <w:color w:val="auto"/>
              </w:rPr>
            </w:pPr>
            <w:r>
              <w:rPr>
                <w:rFonts w:ascii="Arial" w:cs="Arial" w:eastAsia="Arial" w:hAnsi="Arial"/>
                <w:sz w:val="14"/>
                <w:szCs w:val="14"/>
                <w:color w:val="auto"/>
              </w:rPr>
              <w:t>1,985,565</w:t>
            </w:r>
          </w:p>
        </w:tc>
        <w:tc>
          <w:tcPr>
            <w:tcW w:w="1640" w:type="dxa"/>
            <w:vAlign w:val="bottom"/>
            <w:tcBorders>
              <w:bottom w:val="single" w:sz="8" w:color="E6E6E6"/>
            </w:tcBorders>
            <w:shd w:val="clear" w:color="auto" w:fill="E6E6E6"/>
          </w:tcPr>
          <w:p>
            <w:pPr>
              <w:jc w:val="right"/>
              <w:ind w:right="74"/>
              <w:spacing w:after="0"/>
              <w:rPr>
                <w:sz w:val="20"/>
                <w:szCs w:val="20"/>
                <w:color w:val="auto"/>
              </w:rPr>
            </w:pPr>
            <w:r>
              <w:rPr>
                <w:rFonts w:ascii="Arial" w:cs="Arial" w:eastAsia="Arial" w:hAnsi="Arial"/>
                <w:sz w:val="14"/>
                <w:szCs w:val="14"/>
                <w:color w:val="auto"/>
              </w:rPr>
              <w:t>$23.16</w:t>
            </w:r>
          </w:p>
        </w:tc>
        <w:tc>
          <w:tcPr>
            <w:tcW w:w="1580" w:type="dxa"/>
            <w:vAlign w:val="bottom"/>
            <w:tcBorders>
              <w:bottom w:val="single" w:sz="8" w:color="E6E6E6"/>
            </w:tcBorders>
            <w:shd w:val="clear" w:color="auto" w:fill="E6E6E6"/>
          </w:tcPr>
          <w:p>
            <w:pPr>
              <w:jc w:val="right"/>
              <w:ind w:right="115"/>
              <w:spacing w:after="0"/>
              <w:rPr>
                <w:sz w:val="20"/>
                <w:szCs w:val="20"/>
                <w:color w:val="auto"/>
              </w:rPr>
            </w:pPr>
            <w:r>
              <w:rPr>
                <w:rFonts w:ascii="Arial" w:cs="Arial" w:eastAsia="Arial" w:hAnsi="Arial"/>
                <w:sz w:val="14"/>
                <w:szCs w:val="14"/>
                <w:color w:val="auto"/>
              </w:rPr>
              <w:t>922,501</w:t>
            </w:r>
          </w:p>
        </w:tc>
        <w:tc>
          <w:tcPr>
            <w:tcW w:w="0" w:type="dxa"/>
            <w:vAlign w:val="bottom"/>
          </w:tcPr>
          <w:p>
            <w:pPr>
              <w:spacing w:after="0"/>
              <w:rPr>
                <w:sz w:val="1"/>
                <w:szCs w:val="1"/>
                <w:color w:val="auto"/>
              </w:rPr>
            </w:pPr>
          </w:p>
        </w:tc>
      </w:tr>
      <w:tr>
        <w:trPr>
          <w:trHeight w:val="20"/>
        </w:trPr>
        <w:tc>
          <w:tcPr>
            <w:tcW w:w="120" w:type="dxa"/>
            <w:vAlign w:val="bottom"/>
            <w:shd w:val="clear" w:color="auto" w:fill="D9BA05"/>
          </w:tcPr>
          <w:p>
            <w:pPr>
              <w:spacing w:after="0" w:line="20" w:lineRule="exact"/>
              <w:rPr>
                <w:sz w:val="1"/>
                <w:szCs w:val="1"/>
                <w:color w:val="auto"/>
              </w:rPr>
            </w:pPr>
          </w:p>
        </w:tc>
        <w:tc>
          <w:tcPr>
            <w:tcW w:w="4540" w:type="dxa"/>
            <w:vAlign w:val="bottom"/>
            <w:shd w:val="clear" w:color="auto" w:fill="D9BA05"/>
          </w:tcPr>
          <w:p>
            <w:pPr>
              <w:spacing w:after="0" w:line="20" w:lineRule="exact"/>
              <w:rPr>
                <w:sz w:val="1"/>
                <w:szCs w:val="1"/>
                <w:color w:val="auto"/>
              </w:rPr>
            </w:pPr>
          </w:p>
        </w:tc>
        <w:tc>
          <w:tcPr>
            <w:tcW w:w="1520" w:type="dxa"/>
            <w:vAlign w:val="bottom"/>
            <w:shd w:val="clear" w:color="auto" w:fill="D9BA05"/>
          </w:tcPr>
          <w:p>
            <w:pPr>
              <w:spacing w:after="0" w:line="20" w:lineRule="exact"/>
              <w:rPr>
                <w:sz w:val="1"/>
                <w:szCs w:val="1"/>
                <w:color w:val="auto"/>
              </w:rPr>
            </w:pPr>
          </w:p>
        </w:tc>
        <w:tc>
          <w:tcPr>
            <w:tcW w:w="1640" w:type="dxa"/>
            <w:vAlign w:val="bottom"/>
            <w:shd w:val="clear" w:color="auto" w:fill="D9BA05"/>
          </w:tcPr>
          <w:p>
            <w:pPr>
              <w:spacing w:after="0" w:line="20" w:lineRule="exact"/>
              <w:rPr>
                <w:sz w:val="1"/>
                <w:szCs w:val="1"/>
                <w:color w:val="auto"/>
              </w:rPr>
            </w:pPr>
          </w:p>
        </w:tc>
        <w:tc>
          <w:tcPr>
            <w:tcW w:w="1580" w:type="dxa"/>
            <w:vAlign w:val="bottom"/>
            <w:shd w:val="clear" w:color="auto" w:fill="D9BA0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340" w:hanging="334"/>
        <w:spacing w:after="0"/>
        <w:tabs>
          <w:tab w:leader="none" w:pos="340" w:val="left"/>
        </w:tabs>
        <w:numPr>
          <w:ilvl w:val="0"/>
          <w:numId w:val="35"/>
        </w:numPr>
        <w:rPr>
          <w:rFonts w:ascii="Arial" w:cs="Arial" w:eastAsia="Arial" w:hAnsi="Arial"/>
          <w:sz w:val="13"/>
          <w:szCs w:val="13"/>
          <w:color w:val="333333"/>
        </w:rPr>
      </w:pPr>
      <w:r>
        <w:rPr>
          <w:rFonts w:ascii="Arial" w:cs="Arial" w:eastAsia="Arial" w:hAnsi="Arial"/>
          <w:sz w:val="13"/>
          <w:szCs w:val="13"/>
          <w:color w:val="333333"/>
        </w:rPr>
        <w:t>Includes the Stock Plan and the DCP.</w:t>
      </w:r>
    </w:p>
    <w:p>
      <w:pPr>
        <w:spacing w:after="0" w:line="80" w:lineRule="exact"/>
        <w:rPr>
          <w:rFonts w:ascii="Arial" w:cs="Arial" w:eastAsia="Arial" w:hAnsi="Arial"/>
          <w:sz w:val="13"/>
          <w:szCs w:val="13"/>
          <w:color w:val="333333"/>
        </w:rPr>
      </w:pPr>
    </w:p>
    <w:p>
      <w:pPr>
        <w:ind w:left="340" w:hanging="334"/>
        <w:spacing w:after="0" w:line="283" w:lineRule="auto"/>
        <w:tabs>
          <w:tab w:leader="none" w:pos="340" w:val="left"/>
        </w:tabs>
        <w:numPr>
          <w:ilvl w:val="0"/>
          <w:numId w:val="35"/>
        </w:numPr>
        <w:rPr>
          <w:rFonts w:ascii="Arial" w:cs="Arial" w:eastAsia="Arial" w:hAnsi="Arial"/>
          <w:sz w:val="12"/>
          <w:szCs w:val="12"/>
          <w:color w:val="333333"/>
        </w:rPr>
      </w:pPr>
      <w:r>
        <w:rPr>
          <w:rFonts w:ascii="Arial" w:cs="Arial" w:eastAsia="Arial" w:hAnsi="Arial"/>
          <w:sz w:val="12"/>
          <w:szCs w:val="12"/>
          <w:color w:val="333333"/>
        </w:rPr>
        <w:t>Includes 899,349 shares of Common Stock issuable upon the exercise of options and 993,985 shares of Common Stock issuable upon the vesting of stock awards in each case outstanding under the Stock Plan, as well as 92,231 phantom stock units issuable as that same number of shares of Common Stock under the DCP.</w:t>
      </w:r>
    </w:p>
    <w:p>
      <w:pPr>
        <w:spacing w:after="0" w:line="39" w:lineRule="exact"/>
        <w:rPr>
          <w:rFonts w:ascii="Arial" w:cs="Arial" w:eastAsia="Arial" w:hAnsi="Arial"/>
          <w:sz w:val="12"/>
          <w:szCs w:val="12"/>
          <w:color w:val="333333"/>
        </w:rPr>
      </w:pPr>
    </w:p>
    <w:p>
      <w:pPr>
        <w:ind w:left="340" w:hanging="334"/>
        <w:spacing w:after="0"/>
        <w:tabs>
          <w:tab w:leader="none" w:pos="340" w:val="left"/>
        </w:tabs>
        <w:numPr>
          <w:ilvl w:val="0"/>
          <w:numId w:val="35"/>
        </w:numPr>
        <w:rPr>
          <w:rFonts w:ascii="Arial" w:cs="Arial" w:eastAsia="Arial" w:hAnsi="Arial"/>
          <w:sz w:val="13"/>
          <w:szCs w:val="13"/>
          <w:color w:val="333333"/>
        </w:rPr>
      </w:pPr>
      <w:r>
        <w:rPr>
          <w:rFonts w:ascii="Arial" w:cs="Arial" w:eastAsia="Arial" w:hAnsi="Arial"/>
          <w:sz w:val="13"/>
          <w:szCs w:val="13"/>
          <w:color w:val="333333"/>
        </w:rPr>
        <w:t>Weighted average exercise price of options outstanding under the Stock Plan.</w:t>
      </w:r>
    </w:p>
    <w:p>
      <w:pPr>
        <w:spacing w:after="0" w:line="66" w:lineRule="exact"/>
        <w:rPr>
          <w:rFonts w:ascii="Arial" w:cs="Arial" w:eastAsia="Arial" w:hAnsi="Arial"/>
          <w:sz w:val="13"/>
          <w:szCs w:val="13"/>
          <w:color w:val="333333"/>
        </w:rPr>
      </w:pPr>
    </w:p>
    <w:p>
      <w:pPr>
        <w:ind w:left="340" w:right="20" w:hanging="334"/>
        <w:spacing w:after="0" w:line="243" w:lineRule="auto"/>
        <w:tabs>
          <w:tab w:leader="none" w:pos="340" w:val="left"/>
        </w:tabs>
        <w:numPr>
          <w:ilvl w:val="0"/>
          <w:numId w:val="35"/>
        </w:numPr>
        <w:rPr>
          <w:rFonts w:ascii="Arial" w:cs="Arial" w:eastAsia="Arial" w:hAnsi="Arial"/>
          <w:sz w:val="13"/>
          <w:szCs w:val="13"/>
          <w:color w:val="333333"/>
        </w:rPr>
      </w:pPr>
      <w:r>
        <w:rPr>
          <w:rFonts w:ascii="Arial" w:cs="Arial" w:eastAsia="Arial" w:hAnsi="Arial"/>
          <w:sz w:val="13"/>
          <w:szCs w:val="13"/>
          <w:color w:val="333333"/>
        </w:rPr>
        <w:t>Number of shares available for issuance under the Stock Plan as options and as other share-based awards. The DCP does not provide for a limit on the number of phantom stock units available for issuance.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Movado Group, Inc.        43</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ind w:right="520"/>
        <w:spacing w:after="0" w:line="292" w:lineRule="auto"/>
        <w:rPr>
          <w:sz w:val="20"/>
          <w:szCs w:val="20"/>
          <w:color w:val="auto"/>
        </w:rPr>
      </w:pPr>
      <w:r>
        <w:rPr>
          <w:rFonts w:ascii="Arial" w:cs="Arial" w:eastAsia="Arial" w:hAnsi="Arial"/>
          <w:sz w:val="50"/>
          <w:szCs w:val="50"/>
          <w:b w:val="1"/>
          <w:bCs w:val="1"/>
          <w:color w:val="D9BA05"/>
        </w:rPr>
        <w:t>Report of the Audit Committee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-85090</wp:posOffset>
            </wp:positionV>
            <wp:extent cx="59664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8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The Audit Committee has reviewed and discussed with the Company’s management and with PricewaterhouseCoopers LLP (“PwC”), the evaluation by PwC of the Company’s internal control over financial reporting and the audited financial statements of the Company for the fiscal year ended January 31, 2026. The Audit Committee has discussed with PwC the matters required to be discussed under the standards of the Public Company Accounting Oversight Board (United States).</w:t>
      </w:r>
    </w:p>
    <w:p>
      <w:pPr>
        <w:spacing w:after="0" w:line="124"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The Audit Committee has also received the written disclosures and the letter from PwC required by the applicable requirements of the Public Company Accounting Oversight Board and the Audit Committee has discussed the independence of PwC with that firm.</w:t>
      </w:r>
    </w:p>
    <w:p>
      <w:pPr>
        <w:spacing w:after="0" w:line="102"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Based on the Audit Committee’s review and discussions noted above, the Committee recommended to the Board of Directors that the Company’s audited financial statements be included in the Company’s Annual Report on Form 10-K for the fiscal year ended January 31, 2026, for filing with the SEC.</w:t>
      </w:r>
    </w:p>
    <w:p>
      <w:pPr>
        <w:spacing w:after="0" w:line="117"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Committee and the Board of Directors also have recommended, subject to shareholder approval, the selection of PwC as the Company’s independent auditors for fiscal 2027.</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Members of the Audit Committee: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Peter A. Bridgman, Chair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Alan H. Howard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Richard Isserman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Stephen Sadove</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Movado Group, Inc.        44</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40"/>
          </w:cols>
          <w:pgMar w:left="1240" w:top="114" w:right="1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ind w:right="1400"/>
        <w:spacing w:after="0" w:line="292" w:lineRule="auto"/>
        <w:rPr>
          <w:sz w:val="20"/>
          <w:szCs w:val="20"/>
          <w:color w:val="auto"/>
        </w:rPr>
      </w:pPr>
      <w:r>
        <w:rPr>
          <w:rFonts w:ascii="Arial" w:cs="Arial" w:eastAsia="Arial" w:hAnsi="Arial"/>
          <w:sz w:val="50"/>
          <w:szCs w:val="50"/>
          <w:b w:val="1"/>
          <w:bCs w:val="1"/>
          <w:color w:val="D9BA05"/>
        </w:rPr>
        <w:t>Audit-Related Fees, Tax Fees and All Other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-85090</wp:posOffset>
            </wp:positionV>
            <wp:extent cx="59664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87"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following table presents the aggregate fees billed for professional services rendered by the Company’s independent registered public accounting firm, PricewaterhouseCoopers LLP, in the “audit fees”, “audit related fees”, “tax fees”, and “all other fees” categories, in each case as such terms are defined by the SEC, for the fiscal years ended January 31, 2025 and 2026.</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760" w:type="dxa"/>
            <w:vAlign w:val="bottom"/>
          </w:tcPr>
          <w:p>
            <w:pPr>
              <w:spacing w:after="0"/>
              <w:rPr>
                <w:sz w:val="13"/>
                <w:szCs w:val="13"/>
                <w:color w:val="auto"/>
              </w:rPr>
            </w:pPr>
          </w:p>
        </w:tc>
        <w:tc>
          <w:tcPr>
            <w:tcW w:w="2400" w:type="dxa"/>
            <w:vAlign w:val="bottom"/>
            <w:vMerge w:val="restart"/>
          </w:tcPr>
          <w:p>
            <w:pPr>
              <w:jc w:val="right"/>
              <w:ind w:right="513"/>
              <w:spacing w:after="0"/>
              <w:rPr>
                <w:sz w:val="20"/>
                <w:szCs w:val="20"/>
                <w:color w:val="auto"/>
              </w:rPr>
            </w:pPr>
            <w:r>
              <w:rPr>
                <w:rFonts w:ascii="Arial" w:cs="Arial" w:eastAsia="Arial" w:hAnsi="Arial"/>
                <w:sz w:val="13"/>
                <w:szCs w:val="13"/>
                <w:b w:val="1"/>
                <w:bCs w:val="1"/>
                <w:color w:val="auto"/>
              </w:rPr>
              <w:t>AUDIT</w:t>
            </w:r>
          </w:p>
        </w:tc>
        <w:tc>
          <w:tcPr>
            <w:tcW w:w="1520" w:type="dxa"/>
            <w:vAlign w:val="bottom"/>
          </w:tcPr>
          <w:p>
            <w:pPr>
              <w:jc w:val="right"/>
              <w:ind w:right="293"/>
              <w:spacing w:after="0"/>
              <w:rPr>
                <w:sz w:val="20"/>
                <w:szCs w:val="20"/>
                <w:color w:val="auto"/>
              </w:rPr>
            </w:pPr>
            <w:r>
              <w:rPr>
                <w:rFonts w:ascii="Arial" w:cs="Arial" w:eastAsia="Arial" w:hAnsi="Arial"/>
                <w:sz w:val="13"/>
                <w:szCs w:val="13"/>
                <w:b w:val="1"/>
                <w:bCs w:val="1"/>
                <w:color w:val="auto"/>
              </w:rPr>
              <w:t>AUDIT</w:t>
            </w:r>
          </w:p>
        </w:tc>
        <w:tc>
          <w:tcPr>
            <w:tcW w:w="1140" w:type="dxa"/>
            <w:vAlign w:val="bottom"/>
            <w:vMerge w:val="restart"/>
          </w:tcPr>
          <w:p>
            <w:pPr>
              <w:jc w:val="right"/>
              <w:ind w:right="314"/>
              <w:spacing w:after="0"/>
              <w:rPr>
                <w:sz w:val="20"/>
                <w:szCs w:val="20"/>
                <w:color w:val="auto"/>
              </w:rPr>
            </w:pPr>
            <w:r>
              <w:rPr>
                <w:rFonts w:ascii="Arial" w:cs="Arial" w:eastAsia="Arial" w:hAnsi="Arial"/>
                <w:sz w:val="13"/>
                <w:szCs w:val="13"/>
                <w:b w:val="1"/>
                <w:bCs w:val="1"/>
                <w:color w:val="auto"/>
              </w:rPr>
              <w:t>TAX</w:t>
            </w:r>
          </w:p>
        </w:tc>
        <w:tc>
          <w:tcPr>
            <w:tcW w:w="1460" w:type="dxa"/>
            <w:vAlign w:val="bottom"/>
            <w:vMerge w:val="restart"/>
          </w:tcPr>
          <w:p>
            <w:pPr>
              <w:jc w:val="right"/>
              <w:ind w:right="313"/>
              <w:spacing w:after="0"/>
              <w:rPr>
                <w:sz w:val="20"/>
                <w:szCs w:val="20"/>
                <w:color w:val="auto"/>
              </w:rPr>
            </w:pPr>
            <w:r>
              <w:rPr>
                <w:rFonts w:ascii="Arial" w:cs="Arial" w:eastAsia="Arial" w:hAnsi="Arial"/>
                <w:sz w:val="13"/>
                <w:szCs w:val="13"/>
                <w:b w:val="1"/>
                <w:bCs w:val="1"/>
                <w:color w:val="auto"/>
              </w:rPr>
              <w:t>ALL OTHER</w:t>
            </w:r>
          </w:p>
        </w:tc>
        <w:tc>
          <w:tcPr>
            <w:tcW w:w="1120" w:type="dxa"/>
            <w:vAlign w:val="bottom"/>
            <w:vMerge w:val="restart"/>
          </w:tcPr>
          <w:p>
            <w:pPr>
              <w:jc w:val="right"/>
              <w:ind w:right="93"/>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1760" w:type="dxa"/>
            <w:vAlign w:val="bottom"/>
            <w:vMerge w:val="restart"/>
          </w:tcPr>
          <w:p>
            <w:pPr>
              <w:ind w:left="160"/>
              <w:spacing w:after="0"/>
              <w:rPr>
                <w:sz w:val="20"/>
                <w:szCs w:val="20"/>
                <w:color w:val="auto"/>
              </w:rPr>
            </w:pPr>
            <w:r>
              <w:rPr>
                <w:rFonts w:ascii="Arial" w:cs="Arial" w:eastAsia="Arial" w:hAnsi="Arial"/>
                <w:sz w:val="13"/>
                <w:szCs w:val="13"/>
                <w:b w:val="1"/>
                <w:bCs w:val="1"/>
                <w:color w:val="auto"/>
              </w:rPr>
              <w:t>YEAR</w:t>
            </w:r>
          </w:p>
        </w:tc>
        <w:tc>
          <w:tcPr>
            <w:tcW w:w="2400" w:type="dxa"/>
            <w:vAlign w:val="bottom"/>
            <w:vMerge w:val="continue"/>
          </w:tcPr>
          <w:p>
            <w:pPr>
              <w:spacing w:after="0"/>
              <w:rPr>
                <w:sz w:val="11"/>
                <w:szCs w:val="11"/>
                <w:color w:val="auto"/>
              </w:rPr>
            </w:pPr>
          </w:p>
        </w:tc>
        <w:tc>
          <w:tcPr>
            <w:tcW w:w="1520" w:type="dxa"/>
            <w:vAlign w:val="bottom"/>
          </w:tcPr>
          <w:p>
            <w:pPr>
              <w:jc w:val="right"/>
              <w:ind w:right="313"/>
              <w:spacing w:after="0" w:line="135" w:lineRule="exact"/>
              <w:rPr>
                <w:sz w:val="20"/>
                <w:szCs w:val="20"/>
                <w:color w:val="auto"/>
              </w:rPr>
            </w:pPr>
            <w:r>
              <w:rPr>
                <w:rFonts w:ascii="Arial" w:cs="Arial" w:eastAsia="Arial" w:hAnsi="Arial"/>
                <w:sz w:val="13"/>
                <w:szCs w:val="13"/>
                <w:b w:val="1"/>
                <w:bCs w:val="1"/>
                <w:color w:val="auto"/>
              </w:rPr>
              <w:t>RELATED</w:t>
            </w:r>
          </w:p>
        </w:tc>
        <w:tc>
          <w:tcPr>
            <w:tcW w:w="1140" w:type="dxa"/>
            <w:vAlign w:val="bottom"/>
            <w:vMerge w:val="continue"/>
          </w:tcPr>
          <w:p>
            <w:pPr>
              <w:spacing w:after="0"/>
              <w:rPr>
                <w:sz w:val="11"/>
                <w:szCs w:val="11"/>
                <w:color w:val="auto"/>
              </w:rPr>
            </w:pPr>
          </w:p>
        </w:tc>
        <w:tc>
          <w:tcPr>
            <w:tcW w:w="1460" w:type="dxa"/>
            <w:vAlign w:val="bottom"/>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760" w:type="dxa"/>
            <w:vAlign w:val="bottom"/>
            <w:vMerge w:val="continue"/>
          </w:tcPr>
          <w:p>
            <w:pPr>
              <w:spacing w:after="0"/>
              <w:rPr>
                <w:sz w:val="14"/>
                <w:szCs w:val="14"/>
                <w:color w:val="auto"/>
              </w:rPr>
            </w:pPr>
          </w:p>
        </w:tc>
        <w:tc>
          <w:tcPr>
            <w:tcW w:w="2400" w:type="dxa"/>
            <w:vAlign w:val="bottom"/>
          </w:tcPr>
          <w:p>
            <w:pPr>
              <w:jc w:val="right"/>
              <w:ind w:right="473"/>
              <w:spacing w:after="0"/>
              <w:rPr>
                <w:sz w:val="20"/>
                <w:szCs w:val="20"/>
                <w:color w:val="auto"/>
              </w:rPr>
            </w:pPr>
            <w:r>
              <w:rPr>
                <w:rFonts w:ascii="Arial" w:cs="Arial" w:eastAsia="Arial" w:hAnsi="Arial"/>
                <w:sz w:val="13"/>
                <w:szCs w:val="13"/>
                <w:b w:val="1"/>
                <w:bCs w:val="1"/>
                <w:color w:val="auto"/>
              </w:rPr>
              <w:t>($)</w:t>
            </w:r>
          </w:p>
        </w:tc>
        <w:tc>
          <w:tcPr>
            <w:tcW w:w="1520" w:type="dxa"/>
            <w:vAlign w:val="bottom"/>
          </w:tcPr>
          <w:p>
            <w:pPr>
              <w:jc w:val="right"/>
              <w:ind w:right="293"/>
              <w:spacing w:after="0"/>
              <w:rPr>
                <w:sz w:val="20"/>
                <w:szCs w:val="20"/>
                <w:color w:val="auto"/>
              </w:rPr>
            </w:pPr>
            <w:r>
              <w:rPr>
                <w:rFonts w:ascii="Arial" w:cs="Arial" w:eastAsia="Arial" w:hAnsi="Arial"/>
                <w:sz w:val="13"/>
                <w:szCs w:val="13"/>
                <w:b w:val="1"/>
                <w:bCs w:val="1"/>
                <w:color w:val="auto"/>
              </w:rPr>
              <w:t>($)</w:t>
            </w:r>
          </w:p>
        </w:tc>
        <w:tc>
          <w:tcPr>
            <w:tcW w:w="1140" w:type="dxa"/>
            <w:vAlign w:val="bottom"/>
          </w:tcPr>
          <w:p>
            <w:pPr>
              <w:jc w:val="right"/>
              <w:ind w:right="274"/>
              <w:spacing w:after="0"/>
              <w:rPr>
                <w:sz w:val="20"/>
                <w:szCs w:val="20"/>
                <w:color w:val="auto"/>
              </w:rPr>
            </w:pPr>
            <w:r>
              <w:rPr>
                <w:rFonts w:ascii="Arial" w:cs="Arial" w:eastAsia="Arial" w:hAnsi="Arial"/>
                <w:sz w:val="13"/>
                <w:szCs w:val="13"/>
                <w:b w:val="1"/>
                <w:bCs w:val="1"/>
                <w:color w:val="auto"/>
              </w:rPr>
              <w:t>($)</w:t>
            </w:r>
          </w:p>
        </w:tc>
        <w:tc>
          <w:tcPr>
            <w:tcW w:w="1460" w:type="dxa"/>
            <w:vAlign w:val="bottom"/>
          </w:tcPr>
          <w:p>
            <w:pPr>
              <w:jc w:val="right"/>
              <w:ind w:right="313"/>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62"/>
        </w:trPr>
        <w:tc>
          <w:tcPr>
            <w:tcW w:w="176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4"/>
        </w:trPr>
        <w:tc>
          <w:tcPr>
            <w:tcW w:w="1760" w:type="dxa"/>
            <w:vAlign w:val="bottom"/>
            <w:tcBorders>
              <w:bottom w:val="single" w:sz="8" w:color="E6E6E6"/>
            </w:tcBorders>
            <w:shd w:val="clear" w:color="auto" w:fill="E6E6E6"/>
          </w:tcPr>
          <w:p>
            <w:pPr>
              <w:ind w:left="160"/>
              <w:spacing w:after="0"/>
              <w:rPr>
                <w:sz w:val="20"/>
                <w:szCs w:val="20"/>
                <w:color w:val="auto"/>
              </w:rPr>
            </w:pPr>
            <w:r>
              <w:rPr>
                <w:rFonts w:ascii="Arial" w:cs="Arial" w:eastAsia="Arial" w:hAnsi="Arial"/>
                <w:sz w:val="14"/>
                <w:szCs w:val="14"/>
                <w:b w:val="1"/>
                <w:bCs w:val="1"/>
                <w:color w:val="auto"/>
              </w:rPr>
              <w:t>2025</w:t>
            </w:r>
          </w:p>
        </w:tc>
        <w:tc>
          <w:tcPr>
            <w:tcW w:w="2400" w:type="dxa"/>
            <w:vAlign w:val="bottom"/>
            <w:tcBorders>
              <w:bottom w:val="single" w:sz="8" w:color="E6E6E6"/>
            </w:tcBorders>
            <w:shd w:val="clear" w:color="auto" w:fill="E6E6E6"/>
          </w:tcPr>
          <w:p>
            <w:pPr>
              <w:jc w:val="right"/>
              <w:ind w:right="473"/>
              <w:spacing w:after="0"/>
              <w:rPr>
                <w:sz w:val="20"/>
                <w:szCs w:val="20"/>
                <w:color w:val="auto"/>
              </w:rPr>
            </w:pPr>
            <w:r>
              <w:rPr>
                <w:rFonts w:ascii="Arial" w:cs="Arial" w:eastAsia="Arial" w:hAnsi="Arial"/>
                <w:sz w:val="14"/>
                <w:szCs w:val="14"/>
                <w:color w:val="auto"/>
              </w:rPr>
              <w:t>2,491,740</w:t>
            </w:r>
          </w:p>
        </w:tc>
        <w:tc>
          <w:tcPr>
            <w:tcW w:w="1520" w:type="dxa"/>
            <w:vAlign w:val="bottom"/>
            <w:tcBorders>
              <w:bottom w:val="single" w:sz="8" w:color="E6E6E6"/>
            </w:tcBorders>
            <w:shd w:val="clear" w:color="auto" w:fill="E6E6E6"/>
          </w:tcPr>
          <w:p>
            <w:pPr>
              <w:jc w:val="right"/>
              <w:ind w:right="293"/>
              <w:spacing w:after="0"/>
              <w:rPr>
                <w:sz w:val="20"/>
                <w:szCs w:val="20"/>
                <w:color w:val="auto"/>
              </w:rPr>
            </w:pPr>
            <w:r>
              <w:rPr>
                <w:rFonts w:ascii="Arial" w:cs="Arial" w:eastAsia="Arial" w:hAnsi="Arial"/>
                <w:sz w:val="14"/>
                <w:szCs w:val="14"/>
                <w:color w:val="auto"/>
              </w:rPr>
              <w:t>38,230</w:t>
            </w:r>
          </w:p>
        </w:tc>
        <w:tc>
          <w:tcPr>
            <w:tcW w:w="1140" w:type="dxa"/>
            <w:vAlign w:val="bottom"/>
            <w:tcBorders>
              <w:bottom w:val="single" w:sz="8" w:color="E6E6E6"/>
            </w:tcBorders>
            <w:shd w:val="clear" w:color="auto" w:fill="E6E6E6"/>
          </w:tcPr>
          <w:p>
            <w:pPr>
              <w:spacing w:after="0"/>
              <w:rPr>
                <w:sz w:val="24"/>
                <w:szCs w:val="24"/>
                <w:color w:val="auto"/>
              </w:rPr>
            </w:pPr>
          </w:p>
        </w:tc>
        <w:tc>
          <w:tcPr>
            <w:tcW w:w="1460" w:type="dxa"/>
            <w:vAlign w:val="bottom"/>
            <w:tcBorders>
              <w:bottom w:val="single" w:sz="8" w:color="E6E6E6"/>
            </w:tcBorders>
            <w:shd w:val="clear" w:color="auto" w:fill="E6E6E6"/>
          </w:tcPr>
          <w:p>
            <w:pPr>
              <w:jc w:val="right"/>
              <w:ind w:right="313"/>
              <w:spacing w:after="0"/>
              <w:rPr>
                <w:sz w:val="20"/>
                <w:szCs w:val="20"/>
                <w:color w:val="auto"/>
              </w:rPr>
            </w:pPr>
            <w:r>
              <w:rPr>
                <w:rFonts w:ascii="Arial" w:cs="Arial" w:eastAsia="Arial" w:hAnsi="Arial"/>
                <w:sz w:val="14"/>
                <w:szCs w:val="14"/>
                <w:color w:val="auto"/>
              </w:rPr>
              <w:t>2,000</w:t>
            </w:r>
          </w:p>
        </w:tc>
        <w:tc>
          <w:tcPr>
            <w:tcW w:w="1120" w:type="dxa"/>
            <w:vAlign w:val="bottom"/>
            <w:tcBorders>
              <w:bottom w:val="single" w:sz="8" w:color="E6E6E6"/>
            </w:tcBorders>
            <w:shd w:val="clear" w:color="auto" w:fill="E6E6E6"/>
          </w:tcPr>
          <w:p>
            <w:pPr>
              <w:jc w:val="right"/>
              <w:ind w:right="53"/>
              <w:spacing w:after="0"/>
              <w:rPr>
                <w:sz w:val="20"/>
                <w:szCs w:val="20"/>
                <w:color w:val="auto"/>
              </w:rPr>
            </w:pPr>
            <w:r>
              <w:rPr>
                <w:rFonts w:ascii="Arial" w:cs="Arial" w:eastAsia="Arial" w:hAnsi="Arial"/>
                <w:sz w:val="14"/>
                <w:szCs w:val="14"/>
                <w:color w:val="auto"/>
              </w:rPr>
              <w:t>2,531,970</w:t>
            </w:r>
          </w:p>
        </w:tc>
        <w:tc>
          <w:tcPr>
            <w:tcW w:w="0" w:type="dxa"/>
            <w:vAlign w:val="bottom"/>
          </w:tcPr>
          <w:p>
            <w:pPr>
              <w:spacing w:after="0"/>
              <w:rPr>
                <w:sz w:val="1"/>
                <w:szCs w:val="1"/>
                <w:color w:val="auto"/>
              </w:rPr>
            </w:pPr>
          </w:p>
        </w:tc>
      </w:tr>
      <w:tr>
        <w:trPr>
          <w:trHeight w:val="254"/>
        </w:trPr>
        <w:tc>
          <w:tcPr>
            <w:tcW w:w="1760" w:type="dxa"/>
            <w:vAlign w:val="bottom"/>
          </w:tcPr>
          <w:p>
            <w:pPr>
              <w:ind w:left="160"/>
              <w:spacing w:after="0"/>
              <w:rPr>
                <w:sz w:val="20"/>
                <w:szCs w:val="20"/>
                <w:color w:val="auto"/>
              </w:rPr>
            </w:pPr>
            <w:r>
              <w:rPr>
                <w:rFonts w:ascii="Arial" w:cs="Arial" w:eastAsia="Arial" w:hAnsi="Arial"/>
                <w:sz w:val="14"/>
                <w:szCs w:val="14"/>
                <w:b w:val="1"/>
                <w:bCs w:val="1"/>
                <w:color w:val="auto"/>
              </w:rPr>
              <w:t>2026</w:t>
            </w:r>
          </w:p>
        </w:tc>
        <w:tc>
          <w:tcPr>
            <w:tcW w:w="2400" w:type="dxa"/>
            <w:vAlign w:val="bottom"/>
          </w:tcPr>
          <w:p>
            <w:pPr>
              <w:jc w:val="right"/>
              <w:ind w:right="473"/>
              <w:spacing w:after="0"/>
              <w:rPr>
                <w:sz w:val="20"/>
                <w:szCs w:val="20"/>
                <w:color w:val="auto"/>
              </w:rPr>
            </w:pPr>
            <w:r>
              <w:rPr>
                <w:rFonts w:ascii="Arial" w:cs="Arial" w:eastAsia="Arial" w:hAnsi="Arial"/>
                <w:sz w:val="14"/>
                <w:szCs w:val="14"/>
                <w:color w:val="auto"/>
              </w:rPr>
              <w:t>2,369,000</w:t>
            </w:r>
          </w:p>
        </w:tc>
        <w:tc>
          <w:tcPr>
            <w:tcW w:w="152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74"/>
              <w:spacing w:after="0"/>
              <w:rPr>
                <w:sz w:val="20"/>
                <w:szCs w:val="20"/>
                <w:color w:val="auto"/>
              </w:rPr>
            </w:pPr>
            <w:r>
              <w:rPr>
                <w:rFonts w:ascii="Arial" w:cs="Arial" w:eastAsia="Arial" w:hAnsi="Arial"/>
                <w:sz w:val="14"/>
                <w:szCs w:val="14"/>
                <w:color w:val="auto"/>
              </w:rPr>
              <w:t>75,000</w:t>
            </w:r>
          </w:p>
        </w:tc>
        <w:tc>
          <w:tcPr>
            <w:tcW w:w="1460" w:type="dxa"/>
            <w:vAlign w:val="bottom"/>
          </w:tcPr>
          <w:p>
            <w:pPr>
              <w:jc w:val="right"/>
              <w:ind w:right="313"/>
              <w:spacing w:after="0"/>
              <w:rPr>
                <w:sz w:val="20"/>
                <w:szCs w:val="20"/>
                <w:color w:val="auto"/>
              </w:rPr>
            </w:pPr>
            <w:r>
              <w:rPr>
                <w:rFonts w:ascii="Arial" w:cs="Arial" w:eastAsia="Arial" w:hAnsi="Arial"/>
                <w:sz w:val="14"/>
                <w:szCs w:val="14"/>
                <w:color w:val="auto"/>
              </w:rPr>
              <w:t>2,000</w:t>
            </w:r>
          </w:p>
        </w:tc>
        <w:tc>
          <w:tcPr>
            <w:tcW w:w="1120" w:type="dxa"/>
            <w:vAlign w:val="bottom"/>
          </w:tcPr>
          <w:p>
            <w:pPr>
              <w:jc w:val="right"/>
              <w:ind w:right="53"/>
              <w:spacing w:after="0"/>
              <w:rPr>
                <w:sz w:val="20"/>
                <w:szCs w:val="20"/>
                <w:color w:val="auto"/>
              </w:rPr>
            </w:pPr>
            <w:r>
              <w:rPr>
                <w:rFonts w:ascii="Arial" w:cs="Arial" w:eastAsia="Arial" w:hAnsi="Arial"/>
                <w:sz w:val="14"/>
                <w:szCs w:val="14"/>
                <w:color w:val="auto"/>
              </w:rPr>
              <w:t>2,446,000</w:t>
            </w:r>
          </w:p>
        </w:tc>
        <w:tc>
          <w:tcPr>
            <w:tcW w:w="0" w:type="dxa"/>
            <w:vAlign w:val="bottom"/>
          </w:tcPr>
          <w:p>
            <w:pPr>
              <w:spacing w:after="0"/>
              <w:rPr>
                <w:sz w:val="1"/>
                <w:szCs w:val="1"/>
                <w:color w:val="auto"/>
              </w:rPr>
            </w:pPr>
          </w:p>
        </w:tc>
      </w:tr>
      <w:tr>
        <w:trPr>
          <w:trHeight w:val="29"/>
        </w:trPr>
        <w:tc>
          <w:tcPr>
            <w:tcW w:w="1760" w:type="dxa"/>
            <w:vAlign w:val="bottom"/>
            <w:tcBorders>
              <w:bottom w:val="single" w:sz="8" w:color="D9BA05"/>
            </w:tcBorders>
          </w:tcPr>
          <w:p>
            <w:pPr>
              <w:spacing w:after="0"/>
              <w:rPr>
                <w:sz w:val="2"/>
                <w:szCs w:val="2"/>
                <w:color w:val="auto"/>
              </w:rPr>
            </w:pPr>
          </w:p>
        </w:tc>
        <w:tc>
          <w:tcPr>
            <w:tcW w:w="2400" w:type="dxa"/>
            <w:vAlign w:val="bottom"/>
            <w:tcBorders>
              <w:bottom w:val="single" w:sz="8" w:color="D9BA05"/>
            </w:tcBorders>
          </w:tcPr>
          <w:p>
            <w:pPr>
              <w:spacing w:after="0"/>
              <w:rPr>
                <w:sz w:val="2"/>
                <w:szCs w:val="2"/>
                <w:color w:val="auto"/>
              </w:rPr>
            </w:pPr>
          </w:p>
        </w:tc>
        <w:tc>
          <w:tcPr>
            <w:tcW w:w="1520" w:type="dxa"/>
            <w:vAlign w:val="bottom"/>
            <w:tcBorders>
              <w:bottom w:val="single" w:sz="8" w:color="D9BA05"/>
            </w:tcBorders>
          </w:tcPr>
          <w:p>
            <w:pPr>
              <w:spacing w:after="0"/>
              <w:rPr>
                <w:sz w:val="2"/>
                <w:szCs w:val="2"/>
                <w:color w:val="auto"/>
              </w:rPr>
            </w:pPr>
          </w:p>
        </w:tc>
        <w:tc>
          <w:tcPr>
            <w:tcW w:w="1140" w:type="dxa"/>
            <w:vAlign w:val="bottom"/>
            <w:tcBorders>
              <w:bottom w:val="single" w:sz="8" w:color="D9BA05"/>
            </w:tcBorders>
          </w:tcPr>
          <w:p>
            <w:pPr>
              <w:spacing w:after="0"/>
              <w:rPr>
                <w:sz w:val="2"/>
                <w:szCs w:val="2"/>
                <w:color w:val="auto"/>
              </w:rPr>
            </w:pPr>
          </w:p>
        </w:tc>
        <w:tc>
          <w:tcPr>
            <w:tcW w:w="1460" w:type="dxa"/>
            <w:vAlign w:val="bottom"/>
            <w:tcBorders>
              <w:bottom w:val="single" w:sz="8" w:color="D9BA05"/>
            </w:tcBorders>
          </w:tcPr>
          <w:p>
            <w:pPr>
              <w:spacing w:after="0"/>
              <w:rPr>
                <w:sz w:val="2"/>
                <w:szCs w:val="2"/>
                <w:color w:val="auto"/>
              </w:rPr>
            </w:pPr>
          </w:p>
        </w:tc>
        <w:tc>
          <w:tcPr>
            <w:tcW w:w="1120" w:type="dxa"/>
            <w:vAlign w:val="bottom"/>
            <w:tcBorders>
              <w:bottom w:val="single" w:sz="8" w:color="D9BA05"/>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4" w:lineRule="exact"/>
        <w:rPr>
          <w:sz w:val="20"/>
          <w:szCs w:val="20"/>
          <w:color w:val="auto"/>
        </w:rPr>
      </w:pPr>
    </w:p>
    <w:p>
      <w:pPr>
        <w:ind w:right="40"/>
        <w:spacing w:after="0" w:line="283" w:lineRule="auto"/>
        <w:rPr>
          <w:sz w:val="20"/>
          <w:szCs w:val="20"/>
          <w:color w:val="auto"/>
        </w:rPr>
      </w:pPr>
      <w:r>
        <w:rPr>
          <w:rFonts w:ascii="Arial" w:cs="Arial" w:eastAsia="Arial" w:hAnsi="Arial"/>
          <w:sz w:val="16"/>
          <w:szCs w:val="16"/>
          <w:i w:val="1"/>
          <w:iCs w:val="1"/>
          <w:color w:val="auto"/>
        </w:rPr>
        <w:t>The fees in the table above exclude “out-of-pocket” expenses of approximately $40,000 and $50,000 incurred by PwC and billed to the Company in connection with these services for each of fiscal years 2025 and 2026, respectively.</w:t>
      </w:r>
    </w:p>
    <w:p>
      <w:pPr>
        <w:spacing w:after="0" w:line="104"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Audit fees include fees for audits of the Company’s annual consolidated financial statements and the effectiveness of its internal control over financial reporting, reviews of the financial statements included in the Company’s Quarterly Reports on Form 10-Q, and services related to statutory and regulatory filings. The audit fees in fiscal year 2025 reflected additional audit procedures required in light of the restatement of financial results announced by the Company on April 11, 2025. Audit-related fees relate to professional services in connection with foreign statutory and/or contractual requirements and other assurance and related services. All other fees are subscription fees for the use of the independent auditors’ database of authoritative literature and accounting and financial guidance.</w:t>
      </w:r>
    </w:p>
    <w:p>
      <w:pPr>
        <w:spacing w:after="0" w:line="127"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color w:val="auto"/>
        </w:rPr>
        <w:t>The Audit Committee reviews and approves all audit and non-audit services to be rendered in every instance by the Company’s independent auditors before such auditors are engaged to render any such services. Therefore, the Audit Committee has not adopted a pre-approval policy with respect to such services.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Movado Group, Inc.        45</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400"/>
          </w:cols>
          <w:pgMar w:left="1240" w:top="114" w:right="12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PROPOSAL 2 —</w:t>
      </w:r>
    </w:p>
    <w:p>
      <w:pPr>
        <w:spacing w:after="0" w:line="146" w:lineRule="exact"/>
        <w:rPr>
          <w:sz w:val="20"/>
          <w:szCs w:val="20"/>
          <w:color w:val="auto"/>
        </w:rPr>
      </w:pPr>
    </w:p>
    <w:p>
      <w:pPr>
        <w:ind w:right="2100"/>
        <w:spacing w:after="0" w:line="292" w:lineRule="auto"/>
        <w:rPr>
          <w:sz w:val="20"/>
          <w:szCs w:val="20"/>
          <w:color w:val="auto"/>
        </w:rPr>
      </w:pPr>
      <w:r>
        <w:rPr>
          <w:rFonts w:ascii="Arial" w:cs="Arial" w:eastAsia="Arial" w:hAnsi="Arial"/>
          <w:sz w:val="50"/>
          <w:szCs w:val="50"/>
          <w:b w:val="1"/>
          <w:bCs w:val="1"/>
          <w:color w:val="D9BA05"/>
        </w:rPr>
        <w:t>Ratification of Appointment of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-85090</wp:posOffset>
            </wp:positionV>
            <wp:extent cx="59664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47"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The Audit Committee has appointed PricewaterhouseCoopers LLP to be the Company’s independent registered public accounting firm for the year ending January 31, 2027, subject to ratification of such appointment by the Company’s shareholders. PricewaterhouseCoopers LLP has served as the Company’s independent registered public accounting firm since fiscal year 1977 and is considered by the Audit Committee and the Board of Directors to be well qualified. Representatives of PricewaterhouseCoopers LLP are expected to be present at the Annual Meeting. Such representatives will have the opportunity to make a statement if they desire to do so and will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27940</wp:posOffset>
            </wp:positionV>
            <wp:extent cx="5970270" cy="4495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970270" cy="449580"/>
                    </a:xfrm>
                    <a:prstGeom prst="rect">
                      <a:avLst/>
                    </a:prstGeom>
                    <a:noFill/>
                  </pic:spPr>
                </pic:pic>
              </a:graphicData>
            </a:graphic>
          </wp:anchor>
        </w:drawing>
      </w:r>
    </w:p>
    <w:p>
      <w:pPr>
        <w:spacing w:after="0" w:line="202" w:lineRule="exact"/>
        <w:rPr>
          <w:sz w:val="20"/>
          <w:szCs w:val="20"/>
          <w:color w:val="auto"/>
        </w:rPr>
      </w:pPr>
    </w:p>
    <w:p>
      <w:pPr>
        <w:ind w:left="520" w:right="340"/>
        <w:spacing w:after="0" w:line="296" w:lineRule="auto"/>
        <w:rPr>
          <w:sz w:val="20"/>
          <w:szCs w:val="20"/>
          <w:color w:val="auto"/>
        </w:rPr>
      </w:pPr>
      <w:r>
        <w:rPr>
          <w:rFonts w:ascii="Arial" w:cs="Arial" w:eastAsia="Arial" w:hAnsi="Arial"/>
          <w:sz w:val="16"/>
          <w:szCs w:val="16"/>
          <w:b w:val="1"/>
          <w:bCs w:val="1"/>
          <w:color w:val="auto"/>
        </w:rPr>
        <w:t>The Board of Directors recommends that the shareholders vote FOR such ratification. Proxies solicited by the Board will be so voted unless shareholders specify in their proxies a contrary choice.</w:t>
      </w: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3"/>
          <w:szCs w:val="13"/>
          <w:b w:val="1"/>
          <w:bCs w:val="1"/>
          <w:color w:val="auto"/>
        </w:rPr>
        <w:t>Movado Group, Inc.        46</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20"/>
          </w:cols>
          <w:pgMar w:left="1240" w:top="114" w:right="1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PROPOSAL 3 —</w:t>
      </w:r>
    </w:p>
    <w:p>
      <w:pPr>
        <w:spacing w:after="0" w:line="146" w:lineRule="exact"/>
        <w:rPr>
          <w:sz w:val="20"/>
          <w:szCs w:val="20"/>
          <w:color w:val="auto"/>
        </w:rPr>
      </w:pPr>
    </w:p>
    <w:p>
      <w:pPr>
        <w:ind w:right="1760"/>
        <w:spacing w:after="0" w:line="292" w:lineRule="auto"/>
        <w:rPr>
          <w:sz w:val="20"/>
          <w:szCs w:val="20"/>
          <w:color w:val="auto"/>
        </w:rPr>
      </w:pPr>
      <w:r>
        <w:rPr>
          <w:rFonts w:ascii="Arial" w:cs="Arial" w:eastAsia="Arial" w:hAnsi="Arial"/>
          <w:sz w:val="50"/>
          <w:szCs w:val="50"/>
          <w:b w:val="1"/>
          <w:bCs w:val="1"/>
          <w:color w:val="D9BA05"/>
        </w:rPr>
        <w:t>Advisory Approval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-85090</wp:posOffset>
            </wp:positionV>
            <wp:extent cx="59664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47"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In accordance with Section 14A of the Exchange Act and the related rules of the SEC and as a matter of good corporate governance, a proposed resolution will be presented at the Annual Meeting asking our shareholders to approve, on an advisory basis, the compensation of the Company’s named executive officers as disclosed in the Compensation Discussion and Analysis (“CD&amp;A”), the Summary Compensation Table and the related compensation tables, notes and narrative in the Proxy Statement for the Company’s 2026 Annual Meeting of Shareholders.</w:t>
      </w:r>
    </w:p>
    <w:p>
      <w:pPr>
        <w:spacing w:after="0" w:line="126"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As set forth in the CD&amp;A, above, the Company has designed its compensation programs to: (i) properly incentivize executive officers to accomplish the short- and long-term objectives of the Company, (ii) be in line with prevailing pay practices and overall compensation levels at other companies with which the Company competes for executive-level talent, (iii) reward our executives for their individual performance as well as the performance of their respective business units and the Company overall and</w:t>
      </w:r>
    </w:p>
    <w:p>
      <w:pPr>
        <w:spacing w:after="0" w:line="2" w:lineRule="exact"/>
        <w:rPr>
          <w:sz w:val="20"/>
          <w:szCs w:val="20"/>
          <w:color w:val="auto"/>
        </w:rPr>
      </w:pPr>
    </w:p>
    <w:p>
      <w:pPr>
        <w:ind w:firstLine="6"/>
        <w:spacing w:after="0" w:line="249" w:lineRule="auto"/>
        <w:tabs>
          <w:tab w:leader="none" w:pos="27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retain our executive officers and key management employees. Although the vote to approve executive compensation is purely advisory and non-binding, the Board of Directors values the opinions of our shareholders and will consider the results of the vote in determining the compensation of the named executive officers and the Company’s compensation programs generally. The vote is not intended to address any specific item of compensation but rather the overall compensation of our named executive officers and the policies and practices described in this proxy statement. If any shareholder wishes to communicate with the Board of Directors regarding executive compensation, the Board can be contacted using the procedures outlined in “</w:t>
      </w:r>
      <w:r>
        <w:rPr>
          <w:rFonts w:ascii="Arial" w:cs="Arial" w:eastAsia="Arial" w:hAnsi="Arial"/>
          <w:sz w:val="16"/>
          <w:szCs w:val="16"/>
          <w:i w:val="1"/>
          <w:iCs w:val="1"/>
          <w:color w:val="auto"/>
        </w:rPr>
        <w:t>Communications with the Board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Directors” </w:t>
      </w:r>
      <w:r>
        <w:rPr>
          <w:rFonts w:ascii="Arial" w:cs="Arial" w:eastAsia="Arial" w:hAnsi="Arial"/>
          <w:sz w:val="16"/>
          <w:szCs w:val="16"/>
          <w:color w:val="auto"/>
        </w:rPr>
        <w:t>set forth in this proxy statement.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Accordingly, we are asking for shareholder approval of the following resolution:</w:t>
      </w:r>
    </w:p>
    <w:p>
      <w:pPr>
        <w:spacing w:after="0" w:line="167" w:lineRule="exact"/>
        <w:rPr>
          <w:sz w:val="20"/>
          <w:szCs w:val="20"/>
          <w:color w:val="auto"/>
        </w:rPr>
      </w:pPr>
    </w:p>
    <w:p>
      <w:pPr>
        <w:ind w:left="340" w:right="200"/>
        <w:spacing w:after="0" w:line="266" w:lineRule="auto"/>
        <w:rPr>
          <w:sz w:val="20"/>
          <w:szCs w:val="20"/>
          <w:color w:val="auto"/>
        </w:rPr>
      </w:pPr>
      <w:r>
        <w:rPr>
          <w:rFonts w:ascii="Arial" w:cs="Arial" w:eastAsia="Arial" w:hAnsi="Arial"/>
          <w:sz w:val="16"/>
          <w:szCs w:val="16"/>
          <w:color w:val="auto"/>
        </w:rPr>
        <w:t>“RESOLVED, that the compensation of the Company’s named executive officers as described under “Compensation Discussion and Analysis,” the compensation tables and the narrative discussion associated with the compensation tables in the Company’s proxy statement for its 2026 Annual Meeting of Shareholders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21590</wp:posOffset>
            </wp:positionV>
            <wp:extent cx="5970270" cy="4495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70270" cy="449580"/>
                    </a:xfrm>
                    <a:prstGeom prst="rect">
                      <a:avLst/>
                    </a:prstGeom>
                    <a:noFill/>
                  </pic:spPr>
                </pic:pic>
              </a:graphicData>
            </a:graphic>
          </wp:anchor>
        </w:drawing>
      </w:r>
    </w:p>
    <w:p>
      <w:pPr>
        <w:spacing w:after="0" w:line="192" w:lineRule="exact"/>
        <w:rPr>
          <w:sz w:val="20"/>
          <w:szCs w:val="20"/>
          <w:color w:val="auto"/>
        </w:rPr>
      </w:pPr>
    </w:p>
    <w:p>
      <w:pPr>
        <w:ind w:left="520" w:right="380"/>
        <w:spacing w:after="0" w:line="296" w:lineRule="auto"/>
        <w:rPr>
          <w:sz w:val="20"/>
          <w:szCs w:val="20"/>
          <w:color w:val="auto"/>
        </w:rPr>
      </w:pPr>
      <w:r>
        <w:rPr>
          <w:rFonts w:ascii="Arial" w:cs="Arial" w:eastAsia="Arial" w:hAnsi="Arial"/>
          <w:sz w:val="16"/>
          <w:szCs w:val="16"/>
          <w:b w:val="1"/>
          <w:bCs w:val="1"/>
          <w:color w:val="auto"/>
        </w:rPr>
        <w:t>The Board of Directors recommends a vote FOR the approval, on an advisory basis, of the compensation paid by the Company to the named executive officers as disclosed in this proxy statement.</w:t>
      </w: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3"/>
          <w:szCs w:val="13"/>
          <w:b w:val="1"/>
          <w:bCs w:val="1"/>
          <w:color w:val="auto"/>
        </w:rPr>
        <w:t>Movado Group, Inc.        47</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121920</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60"/>
          </w:cols>
          <w:pgMar w:left="1240" w:top="114" w:right="1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50"/>
          <w:szCs w:val="50"/>
          <w:b w:val="1"/>
          <w:bCs w:val="1"/>
          <w:color w:val="D9BA05"/>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59664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Section 16(a) of the Exchange Act requires the Company’s officers, directors, and persons who own more than 10% of a registered class of the Company’s equity securities (the “10% Shareholders”) to file reports of ownership and changes of ownership with the SEC. The Company assists its directors, officers and certain 10% Shareholders by assisting in their completion of Section 16 reports and filing these reports on their behalf. The Company’s officers, directors and 10% Shareholders timely complied with all such filing requirements applicable to them last fiscal year with respect to their beneficial ownership of the Company’s securities, except for one late Form 4 filing covering one phantom stock vesting transaction for Efraim Grinberg; one late Form 4 filing covering one phantom stock vesting transaction and one sale transaction for Michelle Kennedy; and one late Form 4 filing covering one sale transaction in Alex Grinberg’s individual retirement plan account. In addition, on May 8, 2025, Sallie DeMarsilis, Michelle Kennedy, Behzad Soltani and Mitchell Sussis each filed a Form 4/A to amend a Form 4 timely filed by him or her on April 23, 2025, in order to correct the number of RSUs granted and, as a result, the number of securities beneficially owned.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Movado Group, Inc.        48</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80"/>
          </w:cols>
          <w:pgMar w:left="1240" w:top="114" w:right="12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02" w:lineRule="exact"/>
        <w:rPr>
          <w:sz w:val="20"/>
          <w:szCs w:val="20"/>
          <w:color w:val="auto"/>
        </w:rPr>
      </w:pPr>
    </w:p>
    <w:p>
      <w:pPr>
        <w:spacing w:after="0"/>
        <w:rPr>
          <w:sz w:val="20"/>
          <w:szCs w:val="20"/>
          <w:color w:val="auto"/>
        </w:rPr>
      </w:pPr>
      <w:r>
        <w:rPr>
          <w:rFonts w:ascii="Arial" w:cs="Arial" w:eastAsia="Arial" w:hAnsi="Arial"/>
          <w:sz w:val="50"/>
          <w:szCs w:val="50"/>
          <w:b w:val="1"/>
          <w:bCs w:val="1"/>
          <w:color w:val="D9BA05"/>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59664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966460" cy="8255"/>
                    </a:xfrm>
                    <a:prstGeom prst="rect">
                      <a:avLst/>
                    </a:prstGeom>
                    <a:noFill/>
                  </pic:spPr>
                </pic:pic>
              </a:graphicData>
            </a:graphic>
          </wp:anchor>
        </w:drawing>
      </w:r>
    </w:p>
    <w:p>
      <w:pPr>
        <w:spacing w:after="0" w:line="331" w:lineRule="exact"/>
        <w:rPr>
          <w:sz w:val="20"/>
          <w:szCs w:val="20"/>
          <w:color w:val="auto"/>
        </w:rPr>
      </w:pPr>
    </w:p>
    <w:p>
      <w:pPr>
        <w:ind w:right="220"/>
        <w:spacing w:after="0" w:line="259" w:lineRule="auto"/>
        <w:rPr>
          <w:sz w:val="20"/>
          <w:szCs w:val="20"/>
          <w:color w:val="auto"/>
        </w:rPr>
      </w:pPr>
      <w:r>
        <w:rPr>
          <w:rFonts w:ascii="Arial" w:cs="Arial" w:eastAsia="Arial" w:hAnsi="Arial"/>
          <w:sz w:val="16"/>
          <w:szCs w:val="16"/>
          <w:color w:val="auto"/>
        </w:rPr>
        <w:t>The Board of Directors, at the time of the preparation of this proxy statement, knows of no business to come before the Annual Meeting other than that referred to herein. If any other business should properly come before the Annual Meeting, the persons named in the enclosed proxy will have discretionary authority to vote all proxies received and not theretofore revoked in accordance with their best judgment.</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Upon the written request of any record holder or beneficial owner of Common Stock or Class A Common Stock entitled to vote at the Annual Meeting, the Company, without charge, will provide a copy of its Annual Report on Form 10-K for the fiscal year ended January 31, 2026, as filed with the SEC. Requests should be directed to Mitchell C. Sussis, Secretary, Movado Group, Inc., 650 From Road, Ste. 375, Paramus, New Jersey 07652-3556.</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May 6, 2026</w:t>
      </w:r>
    </w:p>
    <w:p>
      <w:pPr>
        <w:spacing w:after="0" w:line="217" w:lineRule="exact"/>
        <w:rPr>
          <w:sz w:val="20"/>
          <w:szCs w:val="20"/>
          <w:color w:val="auto"/>
        </w:rPr>
      </w:pPr>
    </w:p>
    <w:p>
      <w:pPr>
        <w:jc w:val="center"/>
        <w:ind w:right="-139"/>
        <w:spacing w:after="0"/>
        <w:rPr>
          <w:sz w:val="20"/>
          <w:szCs w:val="20"/>
          <w:color w:val="auto"/>
        </w:rPr>
      </w:pPr>
      <w:r>
        <w:rPr>
          <w:rFonts w:ascii="Arial" w:cs="Arial" w:eastAsia="Arial" w:hAnsi="Arial"/>
          <w:sz w:val="13"/>
          <w:szCs w:val="13"/>
          <w:b w:val="1"/>
          <w:bCs w:val="1"/>
          <w:color w:val="auto"/>
        </w:rPr>
        <w:t>Movado Group, Inc.        49</w:t>
      </w:r>
      <w:r>
        <w:rPr>
          <w:rFonts w:ascii="Arial" w:cs="Arial" w:eastAsia="Arial" w:hAnsi="Arial"/>
          <w:sz w:val="13"/>
          <w:szCs w:val="13"/>
          <w:color w:val="auto"/>
        </w:rPr>
        <w:t xml:space="preserve">        2026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113665</wp:posOffset>
            </wp:positionV>
            <wp:extent cx="699516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280"/>
          </w:cols>
          <w:pgMar w:left="1240" w:top="114" w:right="13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123825</wp:posOffset>
            </wp:positionV>
            <wp:extent cx="699516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lvl w:ilvl="1">
      <w:lvlJc w:val="left"/>
      <w:lvlText w:val="☐"/>
      <w:numFmt w:val="bullet"/>
      <w:start w:val="1"/>
    </w:lvl>
  </w:abstractNum>
  <w:abstractNum w:abstractNumId="1">
    <w:nsid w:val="7C83E458"/>
    <w:multiLevelType w:val="hybridMultilevel"/>
    <w:lvl w:ilvl="0">
      <w:lvlJc w:val="left"/>
      <w:lvlText w:val="☒"/>
      <w:numFmt w:val="bullet"/>
      <w:start w:val="1"/>
    </w:lvl>
    <w:lvl w:ilvl="1">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lowerRoman"/>
      <w:start w:val="2"/>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3"/>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lowerRoman"/>
      <w:start w:val="5"/>
    </w:lvl>
  </w:abstractNum>
  <w:abstractNum w:abstractNumId="13">
    <w:nsid w:val="79838CB2"/>
    <w:multiLevelType w:val="hybridMultilevel"/>
    <w:lvl w:ilvl="0">
      <w:lvlJc w:val="left"/>
      <w:lvlText w:val="(%1)"/>
      <w:numFmt w:val="lowerRoman"/>
      <w:start w:val="3"/>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1)"/>
      <w:numFmt w:val="decimal"/>
      <w:start w:val="5"/>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2"/>
    </w:lvl>
  </w:abstractNum>
  <w:abstractNum w:abstractNumId="24">
    <w:nsid w:val="1E7FF521"/>
    <w:multiLevelType w:val="hybridMultilevel"/>
    <w:lvl w:ilvl="0">
      <w:lvlJc w:val="left"/>
      <w:lvlText w:val="(%1)"/>
      <w:numFmt w:val="decimal"/>
      <w:start w:val="1"/>
    </w:lvl>
  </w:abstractNum>
  <w:abstractNum w:abstractNumId="25">
    <w:nsid w:val="7C3DBD3D"/>
    <w:multiLevelType w:val="hybridMultilevel"/>
    <w:lvl w:ilvl="0">
      <w:lvlJc w:val="left"/>
      <w:lvlText w:val="(%1)"/>
      <w:numFmt w:val="decimal"/>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3"/>
    </w:lvl>
  </w:abstractNum>
  <w:abstractNum w:abstractNumId="30">
    <w:nsid w:val="3006C83E"/>
    <w:multiLevelType w:val="hybridMultilevel"/>
    <w:lvl w:ilvl="0">
      <w:lvlJc w:val="left"/>
      <w:lvlText w:val="(%1)"/>
      <w:numFmt w:val="decimal"/>
      <w:start w:val="4"/>
    </w:lvl>
  </w:abstractNum>
  <w:abstractNum w:abstractNumId="31">
    <w:nsid w:val="614FD4A1"/>
    <w:multiLevelType w:val="hybridMultilevel"/>
    <w:lvl w:ilvl="0">
      <w:lvlJc w:val="left"/>
      <w:lvlText w:val="(%1)"/>
      <w:numFmt w:val="decimal"/>
      <w:start w:val="5"/>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2026-05-06T07:03:46Z</dcterms:created>
  <dcterms:modified xsi:type="dcterms:W3CDTF">2026-05-06T07:03:46Z</dcterms:modified>
</cp:coreProperties>
</file>