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824240_8k.htm"/>
      <w:bookmarkStart w:id="1" w:name="kseh260824240_8k"/>
      <w:bookmarkEnd w:id="0"/>
      <w:bookmarkEnd w:id="1"/>
      <w:r>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br/>
        <w:t>SECURITIES AND EXCHANGE COMMISSION</w:t>
        <w:b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B_edei--DocumentType_c20260826__20"/>
      <w:bookmarkEnd w:id="2"/>
      <w:r>
        <w:rPr>
          <w:rFonts w:ascii="Times New Roman;Times;Serif" w:hAnsi="Times New Roman;Times;Serif"/>
          <w:b/>
          <w:i w:val="false"/>
          <w:caps w:val="false"/>
          <w:smallCaps w:val="false"/>
          <w:sz w:val="24"/>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 OF</w:t>
        <w:br/>
        <w:t>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26, 2026</w:t>
      </w:r>
    </w:p>
    <w:p>
      <w:pPr>
        <w:pStyle w:val="TextBody"/>
        <w:bidi w:val="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8"/>
              </w:rPr>
            </w:pPr>
            <w:bookmarkStart w:id="4" w:name="xdx_904_edei--EntityRegistrantName_c2026"/>
            <w:bookmarkEnd w:id="4"/>
            <w:r>
              <w:rPr>
                <w:rFonts w:ascii="Times New Roman;Times;Serif" w:hAnsi="Times New Roman;Times;Serif"/>
                <w:b/>
                <w:i w:val="false"/>
                <w:caps w:val="false"/>
                <w:smallCaps w:val="false"/>
                <w:sz w:val="28"/>
              </w:rPr>
              <w:t>MOVADO GROUP, INC.</w:t>
            </w:r>
          </w:p>
        </w:tc>
      </w:tr>
      <w:tr>
        <w:trPr/>
        <w:tc>
          <w:tcPr>
            <w:tcW w:w="4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jc w:val="left"/>
        <w:rPr>
          <w:caps w:val="false"/>
          <w:smallCaps w:val="false"/>
        </w:rPr>
      </w:pPr>
      <w:r>
        <w:rPr>
          <w:caps w:val="false"/>
          <w:smallCaps w:val="false"/>
        </w:rPr>
        <w:t> </w:t>
      </w:r>
    </w:p>
    <w:tbl>
      <w:tblPr>
        <w:tblW w:w="4800" w:type="dxa"/>
        <w:jc w:val="left"/>
        <w:tblInd w:w="0" w:type="dxa"/>
        <w:tblLayout w:type="fixed"/>
        <w:tblCellMar>
          <w:top w:w="0" w:type="dxa"/>
          <w:left w:w="0" w:type="dxa"/>
          <w:bottom w:w="28" w:type="dxa"/>
          <w:right w:w="0" w:type="dxa"/>
        </w:tblCellMar>
      </w:tblPr>
      <w:tblGrid>
        <w:gridCol w:w="2165"/>
        <w:gridCol w:w="110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New York</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0826"/>
            <w:bookmarkEnd w:id="6"/>
            <w:r>
              <w:rPr>
                <w:rFonts w:ascii="Times New Roman;Times;Serif" w:hAnsi="Times New Roman;Times;Serif"/>
                <w:b/>
                <w:i w:val="false"/>
                <w:caps w:val="false"/>
                <w:smallCaps w:val="false"/>
                <w:sz w:val="20"/>
              </w:rPr>
              <w:t>1-16497</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shd w:fill="FEFEFE" w:val="clear"/>
              </w:rPr>
            </w:pPr>
            <w:bookmarkStart w:id="7" w:name="xdx_904_edei--EntityTaxIdentificationNum"/>
            <w:bookmarkEnd w:id="7"/>
            <w:r>
              <w:rPr>
                <w:rFonts w:ascii="Times New Roman;Times;Serif" w:hAnsi="Times New Roman;Times;Serif"/>
                <w:b/>
                <w:i w:val="false"/>
                <w:caps w:val="false"/>
                <w:smallCaps w:val="false"/>
                <w:sz w:val="20"/>
                <w:shd w:fill="FEFEFE" w:val="clear"/>
              </w:rPr>
              <w:t>13-2595932</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jc w:val="left"/>
        <w:rPr>
          <w:caps w:val="false"/>
          <w:smallCaps w:val="false"/>
        </w:rPr>
      </w:pPr>
      <w:r>
        <w:rPr>
          <w:caps w:val="false"/>
          <w:smallCaps w:val="false"/>
        </w:rPr>
        <w:t> </w:t>
      </w:r>
    </w:p>
    <w:tbl>
      <w:tblPr>
        <w:tblW w:w="5240" w:type="dxa"/>
        <w:jc w:val="left"/>
        <w:tblInd w:w="0" w:type="dxa"/>
        <w:tblLayout w:type="fixed"/>
        <w:tblCellMar>
          <w:top w:w="0" w:type="dxa"/>
          <w:left w:w="0" w:type="dxa"/>
          <w:bottom w:w="28" w:type="dxa"/>
          <w:right w:w="0" w:type="dxa"/>
        </w:tblCellMar>
      </w:tblPr>
      <w:tblGrid>
        <w:gridCol w:w="5240"/>
      </w:tblGrid>
      <w:tr>
        <w:trPr/>
        <w:tc>
          <w:tcPr>
            <w:tcW w:w="5240" w:type="dxa"/>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650 FROM ROAD, </w:t>
            </w:r>
            <w:bookmarkStart w:id="9" w:name="xdx_901_edei--EntityAddressAddressLine2_"/>
            <w:bookmarkEnd w:id="9"/>
            <w:r>
              <w:rPr>
                <w:rFonts w:ascii="Times New Roman;Times;Serif" w:hAnsi="Times New Roman;Times;Serif"/>
                <w:b/>
                <w:i w:val="false"/>
                <w:caps w:val="false"/>
                <w:smallCaps w:val="false"/>
                <w:sz w:val="20"/>
              </w:rPr>
              <w:t>SUITE 375</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PARAMUS, </w:t>
            </w:r>
            <w:bookmarkStart w:id="11" w:name="xdx_90E_edei--EntityAddressStateOrProvin"/>
            <w:bookmarkEnd w:id="11"/>
            <w:r>
              <w:rPr>
                <w:rFonts w:ascii="Times New Roman;Times;Serif" w:hAnsi="Times New Roman;Times;Serif"/>
                <w:b/>
                <w:i w:val="false"/>
                <w:caps w:val="false"/>
                <w:smallCaps w:val="false"/>
                <w:sz w:val="20"/>
              </w:rPr>
              <w:t>NJ </w:t>
            </w:r>
            <w:bookmarkStart w:id="12" w:name="xdx_909_edei--EntityAddressPostalZipCode"/>
            <w:bookmarkEnd w:id="12"/>
            <w:r>
              <w:rPr>
                <w:rFonts w:ascii="Times New Roman;Times;Serif" w:hAnsi="Times New Roman;Times;Serif"/>
                <w:b/>
                <w:i w:val="false"/>
                <w:caps w:val="false"/>
                <w:smallCaps w:val="false"/>
                <w:sz w:val="20"/>
                <w:shd w:fill="FEFEFE" w:val="clear"/>
              </w:rPr>
              <w:t>07652-3556</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tc>
      </w:tr>
      <w:tr>
        <w:trPr/>
        <w:tc>
          <w:tcPr>
            <w:tcW w:w="5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w:t>
            </w:r>
            <w:bookmarkStart w:id="13" w:name="xdx_902_edei--CityAreaCode_c20260826__20"/>
            <w:bookmarkEnd w:id="13"/>
            <w:r>
              <w:rPr>
                <w:rFonts w:ascii="Times New Roman;Times;Serif" w:hAnsi="Times New Roman;Times;Serif"/>
                <w:b/>
                <w:i w:val="false"/>
                <w:caps w:val="false"/>
                <w:smallCaps w:val="false"/>
                <w:sz w:val="20"/>
                <w:shd w:fill="FEFEFE" w:val="clear"/>
              </w:rPr>
              <w:t xml:space="preserve">201) </w:t>
            </w:r>
            <w:bookmarkStart w:id="14" w:name="xdx_908_edei--LocalPhoneNumber_c20260826"/>
            <w:bookmarkEnd w:id="14"/>
            <w:r>
              <w:rPr>
                <w:rFonts w:ascii="Times New Roman;Times;Serif" w:hAnsi="Times New Roman;Times;Serif"/>
                <w:b/>
                <w:i w:val="false"/>
                <w:caps w:val="false"/>
                <w:smallCaps w:val="false"/>
                <w:sz w:val="20"/>
                <w:shd w:fill="FEFEFE" w:val="clear"/>
              </w:rPr>
              <w:t>267-8000</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r>
      <w:tr>
        <w:trPr/>
        <w:tc>
          <w:tcPr>
            <w:tcW w:w="5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NOT APPLICABLE</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2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bookmarkStart w:id="16" w:name="xdx_901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7320" w:type="dxa"/>
        <w:jc w:val="left"/>
        <w:tblInd w:w="0" w:type="dxa"/>
        <w:tblLayout w:type="fixed"/>
        <w:tblCellMar>
          <w:top w:w="0" w:type="dxa"/>
          <w:left w:w="0" w:type="dxa"/>
          <w:bottom w:w="28" w:type="dxa"/>
          <w:right w:w="0" w:type="dxa"/>
        </w:tblCellMar>
      </w:tblPr>
      <w:tblGrid>
        <w:gridCol w:w="3380"/>
        <w:gridCol w:w="60"/>
        <w:gridCol w:w="1610"/>
        <w:gridCol w:w="60"/>
        <w:gridCol w:w="2210"/>
      </w:tblGrid>
      <w:tr>
        <w:trPr/>
        <w:tc>
          <w:tcPr>
            <w:tcW w:w="33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0826"/>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0826__2"/>
            <w:bookmarkEnd w:id="20"/>
            <w:r>
              <w:rPr>
                <w:rFonts w:ascii="Times New Roman;Times;Serif" w:hAnsi="Times New Roman;Times;Serif"/>
                <w:b w:val="false"/>
                <w:i w:val="false"/>
                <w:caps w:val="false"/>
                <w:smallCaps w:val="false"/>
                <w:sz w:val="20"/>
              </w:rPr>
              <w:t>MOV</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6"/>
            <w:bookmarkEnd w:id="21"/>
            <w:r>
              <w:rPr>
                <w:rFonts w:ascii="Times New Roman;Times;Serif" w:hAnsi="Times New Roman;Times;Serif"/>
                <w:b w:val="false"/>
                <w:i w:val="false"/>
                <w:caps w:val="false"/>
                <w:smallCaps w:val="false"/>
                <w:sz w:val="20"/>
              </w:rPr>
              <w:t>New York Stock Exchange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02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Movado Group, Inc. issued a press release announcing second quarter results for the period ended July 31, 2026. The press release is attached as Exhibit 99.1.</w:t>
      </w:r>
    </w:p>
    <w:p>
      <w:pPr>
        <w:pStyle w:val="TextBody"/>
        <w:bidi w:val="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left"/>
        <w:rPr>
          <w:caps w:val="false"/>
          <w:smallCaps w:val="false"/>
        </w:rPr>
      </w:pPr>
      <w:r>
        <w:rPr>
          <w:caps w:val="false"/>
          <w:smallCaps w:val="false"/>
        </w:rPr>
        <w:t> </w:t>
      </w:r>
    </w:p>
    <w:tbl>
      <w:tblPr>
        <w:tblW w:w="9820" w:type="dxa"/>
        <w:jc w:val="left"/>
        <w:tblInd w:w="0" w:type="dxa"/>
        <w:tblLayout w:type="fixed"/>
        <w:tblCellMar>
          <w:top w:w="0" w:type="dxa"/>
          <w:left w:w="0" w:type="dxa"/>
          <w:bottom w:w="28" w:type="dxa"/>
          <w:right w:w="0" w:type="dxa"/>
        </w:tblCellMar>
      </w:tblPr>
      <w:tblGrid>
        <w:gridCol w:w="995"/>
        <w:gridCol w:w="60"/>
        <w:gridCol w:w="8765"/>
      </w:tblGrid>
      <w:tr>
        <w:trPr/>
        <w:tc>
          <w:tcPr>
            <w:tcW w:w="995" w:type="dxa"/>
            <w:tcBorders>
              <w:bottom w:val="single" w:sz="8" w:space="0" w:color="000000"/>
            </w:tcBorders>
            <w:shd w:fill="FEFEFE" w:val="clear"/>
            <w:vAlign w:val="center"/>
          </w:tcPr>
          <w:p>
            <w:pPr>
              <w:pStyle w:val="TableContents"/>
              <w:bidi w:val="0"/>
              <w:spacing w:before="0" w:after="283"/>
              <w:jc w:val="left"/>
              <w:rPr>
                <w:b/>
                <w:sz w:val="20"/>
              </w:rPr>
            </w:pPr>
            <w:r>
              <w:rPr>
                <w:b/>
                <w:sz w:val="20"/>
              </w:rPr>
              <w:t>Exhibit No.</w:t>
            </w:r>
          </w:p>
        </w:tc>
        <w:tc>
          <w:tcPr>
            <w:tcW w:w="60" w:type="dxa"/>
            <w:tcBorders/>
            <w:shd w:fill="FEFEFE" w:val="clear"/>
            <w:tcMar>
              <w:bottom w:w="0" w:type="dxa"/>
            </w:tcMar>
            <w:vAlign w:val="center"/>
          </w:tcPr>
          <w:p>
            <w:pPr>
              <w:pStyle w:val="TableContents"/>
              <w:bidi w:val="0"/>
              <w:spacing w:before="0" w:after="283"/>
              <w:jc w:val="left"/>
              <w:rPr/>
            </w:pPr>
            <w:r>
              <w:rPr/>
              <w:t> </w:t>
            </w:r>
          </w:p>
        </w:tc>
        <w:tc>
          <w:tcPr>
            <w:tcW w:w="8765" w:type="dxa"/>
            <w:tcBorders>
              <w:bottom w:val="single" w:sz="8" w:space="0" w:color="000000"/>
            </w:tcBorders>
            <w:shd w:fill="FEFEFE" w:val="clear"/>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sz w:val="20"/>
              </w:rPr>
            </w:pPr>
            <w:r>
              <w:rPr>
                <w:sz w:val="20"/>
              </w:rPr>
              <w:t>99.1</w:t>
            </w:r>
          </w:p>
        </w:tc>
        <w:tc>
          <w:tcPr>
            <w:tcW w:w="60" w:type="dxa"/>
            <w:tcBorders/>
            <w:tcMar>
              <w:bottom w:w="0" w:type="dxa"/>
            </w:tcMar>
            <w:vAlign w:val="center"/>
          </w:tcPr>
          <w:p>
            <w:pPr>
              <w:pStyle w:val="TableContents"/>
              <w:bidi w:val="0"/>
              <w:spacing w:before="0" w:after="283"/>
              <w:jc w:val="left"/>
              <w:rPr/>
            </w:pPr>
            <w:r>
              <w:rPr/>
              <w:t> </w:t>
            </w:r>
          </w:p>
        </w:tc>
        <w:tc>
          <w:tcPr>
            <w:tcW w:w="8765" w:type="dxa"/>
            <w:tcBorders/>
            <w:tcMar>
              <w:bottom w:w="0" w:type="dxa"/>
            </w:tcMar>
            <w:vAlign w:val="center"/>
          </w:tcPr>
          <w:p>
            <w:pPr>
              <w:pStyle w:val="TableContents"/>
              <w:bidi w:val="0"/>
              <w:spacing w:before="0" w:after="283"/>
              <w:jc w:val="left"/>
              <w:rPr/>
            </w:pPr>
            <w:hyperlink w:anchor="eh260824240_ex9901.htm">
              <w:r>
                <w:rPr>
                  <w:rStyle w:val="InternetLink"/>
                  <w:rFonts w:ascii="Times New Roman;Times;Serif" w:hAnsi="Times New Roman;Times;Serif"/>
                  <w:b w:val="false"/>
                  <w:i w:val="false"/>
                  <w:caps w:val="false"/>
                  <w:smallCaps w:val="false"/>
                  <w:color w:val="000000"/>
                  <w:sz w:val="20"/>
                </w:rPr>
                <w:t>Press Release issued August 26, 2026 announcing second quarter results for the period ended July 31, 2026.</w:t>
              </w:r>
            </w:hyperlink>
          </w:p>
        </w:tc>
      </w:tr>
      <w:tr>
        <w:trPr/>
        <w:tc>
          <w:tcPr>
            <w:tcW w:w="995" w:type="dxa"/>
            <w:tcBorders/>
            <w:shd w:fill="FEFEFE" w:val="clear"/>
            <w:tcMar>
              <w:bottom w:w="0" w:type="dxa"/>
            </w:tcMar>
            <w:vAlign w:val="center"/>
          </w:tcPr>
          <w:p>
            <w:pPr>
              <w:pStyle w:val="TableContents"/>
              <w:bidi w:val="0"/>
              <w:spacing w:before="0" w:after="283"/>
              <w:jc w:val="left"/>
              <w:rPr>
                <w:sz w:val="20"/>
              </w:rPr>
            </w:pPr>
            <w:r>
              <w:rPr>
                <w:sz w:val="20"/>
              </w:rPr>
              <w:t>104</w:t>
            </w:r>
          </w:p>
        </w:tc>
        <w:tc>
          <w:tcPr>
            <w:tcW w:w="60" w:type="dxa"/>
            <w:tcBorders/>
            <w:shd w:fill="FEFEFE" w:val="clear"/>
            <w:tcMar>
              <w:bottom w:w="0" w:type="dxa"/>
            </w:tcMar>
            <w:vAlign w:val="center"/>
          </w:tcPr>
          <w:p>
            <w:pPr>
              <w:pStyle w:val="TableContents"/>
              <w:bidi w:val="0"/>
              <w:spacing w:before="0" w:after="283"/>
              <w:jc w:val="left"/>
              <w:rPr/>
            </w:pPr>
            <w:r>
              <w:rPr/>
              <w:t> </w:t>
            </w:r>
          </w:p>
        </w:tc>
        <w:tc>
          <w:tcPr>
            <w:tcW w:w="8765" w:type="dxa"/>
            <w:tcBorders/>
            <w:shd w:fill="FEFEFE"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on Form 8-K to be signed on its behalf by the undersigned hereunto duly authorized.</w:t>
      </w:r>
    </w:p>
    <w:p>
      <w:pPr>
        <w:pStyle w:val="TextBody"/>
        <w:bidi w:val="0"/>
        <w:spacing w:before="0" w:after="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26, 2026</w:t>
      </w:r>
    </w:p>
    <w:p>
      <w:pPr>
        <w:pStyle w:val="TextBody"/>
        <w:bidi w:val="0"/>
        <w:spacing w:before="0" w:after="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545"/>
        <w:gridCol w:w="4340"/>
        <w:gridCol w:w="75"/>
      </w:tblGrid>
      <w:tr>
        <w:trPr/>
        <w:tc>
          <w:tcPr>
            <w:tcW w:w="75" w:type="dxa"/>
            <w:tcBorders/>
            <w:vAlign w:val="center"/>
          </w:tcPr>
          <w:p>
            <w:pPr>
              <w:pStyle w:val="TableContents"/>
              <w:bidi w:val="0"/>
              <w:spacing w:before="0" w:after="283"/>
              <w:jc w:val="left"/>
              <w:rPr/>
            </w:pPr>
            <w:r>
              <w:rPr/>
              <w:t> </w:t>
            </w:r>
          </w:p>
        </w:tc>
        <w:tc>
          <w:tcPr>
            <w:tcW w:w="48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MOVADO GROUP,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Mitchell Sussis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Mitchell Sussis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Secretary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right"/>
        <w:rPr>
          <w:b/>
        </w:rPr>
      </w:pPr>
      <w:bookmarkStart w:id="23" w:name="eh260824240_ex9901.htm"/>
      <w:bookmarkStart w:id="24" w:name="kseh260824240_ex9901"/>
      <w:bookmarkEnd w:id="23"/>
      <w:bookmarkEnd w:id="24"/>
      <w:r>
        <w:rPr>
          <w:b/>
        </w:rPr>
        <w:t>EXHIBIT 99.1</w:t>
      </w:r>
      <w:r>
        <w:br w:type="page"/>
      </w:r>
    </w:p>
    <w:p>
      <w:pPr>
        <w:pStyle w:val="TextBody"/>
        <w:bidi w:val="0"/>
        <w:jc w:val="left"/>
        <w:rPr/>
      </w:pPr>
      <w:r>
        <w:rPr/>
        <w:t> </w:t>
      </w:r>
    </w:p>
    <w:p>
      <w:pPr>
        <w:pStyle w:val="TextBody"/>
        <w:bidi w:val="0"/>
        <w:jc w:val="left"/>
        <w:rPr/>
      </w:pPr>
      <w:r>
        <w:rPr/>
        <w:drawing>
          <wp:inline distT="0" distB="0" distL="0" distR="0">
            <wp:extent cx="332422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24225" cy="752475"/>
                    </a:xfrm>
                    <a:prstGeom prst="rect">
                      <a:avLst/>
                    </a:prstGeom>
                  </pic:spPr>
                </pic:pic>
              </a:graphicData>
            </a:graphic>
          </wp:inline>
        </w:drawing>
      </w:r>
    </w:p>
    <w:p>
      <w:pPr>
        <w:pStyle w:val="TextBody"/>
        <w:bidi w:val="0"/>
        <w:jc w:val="left"/>
        <w:rPr/>
      </w:pPr>
      <w:r>
        <w:rPr/>
        <w:t> </w:t>
      </w:r>
    </w:p>
    <w:tbl>
      <w:tblPr>
        <w:tblW w:w="2350" w:type="dxa"/>
        <w:jc w:val="left"/>
        <w:tblInd w:w="0" w:type="dxa"/>
        <w:tblLayout w:type="fixed"/>
        <w:tblCellMar>
          <w:top w:w="0" w:type="dxa"/>
          <w:left w:w="0" w:type="dxa"/>
          <w:bottom w:w="0" w:type="dxa"/>
          <w:right w:w="0" w:type="dxa"/>
        </w:tblCellMar>
      </w:tblPr>
      <w:tblGrid>
        <w:gridCol w:w="1010"/>
        <w:gridCol w:w="60"/>
        <w:gridCol w:w="1280"/>
      </w:tblGrid>
      <w:tr>
        <w:trPr/>
        <w:tc>
          <w:tcPr>
            <w:tcW w:w="1010" w:type="dxa"/>
            <w:tcBorders/>
            <w:vAlign w:val="center"/>
          </w:tcPr>
          <w:p>
            <w:pPr>
              <w:pStyle w:val="TableContents"/>
              <w:bidi w:val="0"/>
              <w:spacing w:before="0" w:after="283"/>
              <w:jc w:val="left"/>
              <w:rPr>
                <w:sz w:val="20"/>
              </w:rPr>
            </w:pPr>
            <w:r>
              <w:rPr>
                <w:sz w:val="20"/>
              </w:rPr>
              <w:t>CONTACT: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20"/>
              </w:rPr>
            </w:pPr>
            <w:r>
              <w:rPr>
                <w:sz w:val="20"/>
              </w:rPr>
              <w:t xml:space="preserve">ICR, Inc.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Malkin</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20"/>
              </w:rPr>
            </w:pPr>
            <w:r>
              <w:rPr>
                <w:sz w:val="20"/>
              </w:rPr>
              <w:t>203-682-8200</w:t>
            </w:r>
          </w:p>
        </w:tc>
      </w:tr>
    </w:tbl>
    <w:p>
      <w:pPr>
        <w:pStyle w:val="TextBody"/>
        <w:bidi w:val="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MOVADO GROUP, INC. ANNOUNCES SECOND QUARTER</w:t>
        <w:br/>
        <w:t>FISCAL 2027 RESULTS</w:t>
      </w:r>
    </w:p>
    <w:p>
      <w:pPr>
        <w:pStyle w:val="TextBody"/>
        <w:bidi w:val="0"/>
        <w:jc w:val="center"/>
        <w:rPr>
          <w:caps w:val="false"/>
          <w:smallCaps w:val="false"/>
        </w:rPr>
      </w:pPr>
      <w:r>
        <w:rPr>
          <w:caps w:val="false"/>
          <w:smallCaps w:val="false"/>
        </w:rPr>
        <w:t> </w:t>
      </w:r>
    </w:p>
    <w:p>
      <w:pPr>
        <w:pStyle w:val="TextBody"/>
        <w:bidi w:val="0"/>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Net Sales of $169.8 million ~</w:t>
      </w:r>
    </w:p>
    <w:p>
      <w:pPr>
        <w:pStyle w:val="TextBody"/>
        <w:bidi w:val="0"/>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Operating Income of $14.9 million and Adjusted Operating Income of $15.1 million, which include $3.2 million in IEEPA duty refunds ~</w:t>
      </w:r>
    </w:p>
    <w:p>
      <w:pPr>
        <w:pStyle w:val="TextBody"/>
        <w:bidi w:val="0"/>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EPS of $0.53 and Adjusted EPS of $0.54, which include $0.11 resulting from IEEPA duty refunds ~</w:t>
      </w:r>
    </w:p>
    <w:p>
      <w:pPr>
        <w:pStyle w:val="TextBody"/>
        <w:bidi w:val="0"/>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Board Declares Quarterly Dividend of $0.40 per share ~</w:t>
      </w:r>
    </w:p>
    <w:p>
      <w:pPr>
        <w:pStyle w:val="TextBody"/>
        <w:bidi w:val="0"/>
        <w:spacing w:before="120" w:after="120"/>
        <w:ind w:left="120" w:right="12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Paramus, NJ – August 26, 2026 -- Movado Group, Inc. (NYSE: MOV) today announced second quarter and six-month results for the periods ended July 31, 2026.</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Second Quarter Fiscal 2027 Highlights</w:t>
      </w:r>
      <w:r>
        <w:rPr>
          <w:rFonts w:ascii="Times New Roman;Times;Serif" w:hAnsi="Times New Roman;Times;Serif"/>
          <w:b/>
          <w:i w:val="false"/>
          <w:caps w:val="false"/>
          <w:smallCaps w:val="false"/>
          <w:position w:val="7"/>
          <w:sz w:val="16"/>
          <w:sz w:val="20"/>
        </w:rPr>
        <w:t>*</w:t>
      </w:r>
    </w:p>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Net sales of $169.8 million versus $161.8 million in the second quarter of fiscal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Gross margin of 59.4%, or 57.5% excluding $3.2 million of IEEPA duty refunds, compared to 54.1% in the second quarter of fiscal 2026;</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both"/>
              <w:rPr/>
            </w:pPr>
            <w:r>
              <w:rPr/>
              <w:t>Operating income of $14.9 million compared to $4.0 million in the second quarter of fiscal 2026;</w:t>
            </w:r>
          </w:p>
        </w:tc>
      </w:tr>
    </w:tbl>
    <w:tbl>
      <w:tblPr>
        <w:tblW w:w="5000" w:type="pct"/>
        <w:jc w:val="left"/>
        <w:tblInd w:w="0" w:type="dxa"/>
        <w:tblLayout w:type="fixed"/>
        <w:tblCellMar>
          <w:top w:w="0" w:type="dxa"/>
          <w:left w:w="0" w:type="dxa"/>
          <w:bottom w:w="0" w:type="dxa"/>
          <w:right w:w="0" w:type="dxa"/>
        </w:tblCellMar>
      </w:tblPr>
      <w:tblGrid>
        <w:gridCol w:w="37"/>
        <w:gridCol w:w="126"/>
        <w:gridCol w:w="10042"/>
      </w:tblGrid>
      <w:tr>
        <w:trPr/>
        <w:tc>
          <w:tcPr>
            <w:tcW w:w="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Adjusted operating income of $15.1 million compared to $7.0 million in the second quarter of fiscal 2026;</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pPr>
            <w:r>
              <w:rPr/>
              <w:t>Diluted earnings per share of $0.53 compared to $0.13 in the second quarter of fiscal 2026;</w:t>
            </w:r>
          </w:p>
        </w:tc>
      </w:tr>
    </w:tbl>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pPr>
            <w:r>
              <w:rPr/>
              <w:t>Adjusted diluted earnings per share of $0.54 compared to $0.23 in the second quarter of fiscal 2026; and</w:t>
            </w:r>
          </w:p>
        </w:tc>
      </w:tr>
    </w:tbl>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both"/>
              <w:rPr/>
            </w:pPr>
            <w:r>
              <w:rPr/>
              <w:t>The quarter ended with $211.6 million in cash and no debt.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Fiscal 2027 GAAP and Adjusted results include $3.2 million in IEEPA duty refunds plus $0.1 million in interest thereon totaling $3.3 million pre-tax, or $2.5 million after tax, representing $0.11 per diluted share. The $3.2 million IEEPA duty refund was reflected as a benefit to cost of sales. This benefit represented 190 of the 530 basis-point improvement in Second Quarter Fiscal 2027 gross profit margin as compared to the prior-year quarter. (See explanation below under “IEEPA Duty Refunds.”)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Efraim Grinberg, Chairman and Chief Executive Officer, stated: "I am pleased to report strong top- and bottom-line results for the second quarter, capping an excellent first half for Movado Group. In the second quarter of fiscal 2027, net sales grew 4.9%, or 4.4% in constant currency. Gross profit margin expanded by 340 basis points and adjusted diluted earnings per share increased by approximately 87%, in each case excluding the impact of IEEPA duty refunds. This performance reflected broad-based increases across our owned and licensed brands, our direct and wholesale channels, and key geographies led by the U.S. and Europe, underscoring the strength of our business model and the successful execution of our strategy. We drove demand for our portfolio of watch and jewelry brands worldwide by placing the consumer at the center of everything we do, delivering high-impact innovation and deepening customer engagement across our brand portfolio.”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also ended the first half of the year with a strong balance sheet, including a higher cash balance than at the same time last year and no debt. At quarter-end, cash totaled $211.6 million after investing to support our long-term growth and returning $16.6 million to shareholders through year-to-date dividend payments,” Mr. Grinberg continued.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enter the third quarter excited about our business prospects, with compelling innovation and marketing efforts set to build on the momentum we're seeing across our fashion watch and jewelry brands, particularly in smaller-sized watches and distinctive shapes. Combined with our sharp focus on execution, we believe we are well positioned to navigate the dynamic environment, advance our strategic priorities, and generate long-term profitable growth and value creation for our shareholders,” Mr. Grinberg concluded.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Items (See attached table for GAAP and Non-GAAP measures)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fiscal 2027 results of operations included a $0.2 million pre-tax charge, or $0.1 million after tax, representing $0.01 per diluted share, related to the investigation of misconduct within the Dubai branch of the Company's Swiss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fiscal 2026 results of operations included a $2.1 million pre-tax charge, or $1.6 million after tax, representing $0.07 per diluted share, related to the investigation of misconduct within the Dubai branch of the Company’s Swiss subsidiary and a $0.9 million pre-tax charge, or $0.7 million after tax, representing $0.03 per diluted share, associated with expenses related to a corporate cost-savings initiative.</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press release, references to “adjusted” results exclude the impact of the above charges and the impact of the items described in the Non-GAAP Items section of the Company’s earnings release for the first quarter of fiscal 2027. Please refer to the attached GAAP and Non-GAAP measures table for a detailed reconciliation of the Company’s reported results to its adjusted, non-GAAP results.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Second Quarter Fiscal 2027 Results (See attached table for GAAP and Non-GAAP measures)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sales increased 4.9% to $169.8 million, or increased 4.4% on a constant-dollar basis, compared to $161.8 million in the second quarter of fiscal 2026. The increase in net sales reflected increases across the Company’s owned and licensed brands and its Movado Company Stores. U.S. net sales increased 4.9% as compared to the second quarter of last year. International net sales also increased 4.9% (4.1% on a constant-dollar basis) as compared to the second quarter of last year.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Gross profit was $100.8 million, or 59.4% of net sales, compared to $87.6 million, or 54.1% of net sales, in the second quarter of fiscal 2026. The 530 basis-point improvement in gross margin included $3.2 million, or 190 basis points, from IEEPA duty refunds in the quarter, as well as the positive impact of changes in channel and product mix, partially offset by higher shipping costs.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Operating expenses were $85.9 million in the second quarter of fiscal 2027 compared to $83.6 million in the second quarter of fiscal 2026. This increase was primarily due to higher performance-based compensation and increased selling and marketing expenses to support higher sales. As a percentage of net sales, operating expenses decreased to 50.6% of net sales from 51.6% in the prior-year period primarily due to leverage of expenses given the increase in net sales. Adjusted operating expenses were $85.7 million, or 50.5% of net sales, compared to $80.6 million, or 49.8% of net sales, in the second quarter of fiscal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Operating income was $14.9 million compared to $4.0 million in the second quarter of fiscal 2026. Adjusted operating income was $15.1 million, or 8.9% of net sales, compared to $7.0 million, or 4.3% of net sales, in the second quarter of fiscal 2026. Both operating income and adjusted operating income in the second quarter of fiscal 2027 included $3.2 million in IEEPA duty refunds.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recorded a tax provision of $3.5 million in the second quarter of fiscal 2027 compared to $2.0 million in the second quarter of fiscal 2026. Based on adjusted pre-tax income, the adjusted tax provision in the second quarter of fiscal 2027 was $3.6 million, or an adjusted tax rate of 22.1%. This compares to an adjusted tax provision of $2.7 million, or an adjusted tax rate of 32.9%, in the second quarter of fiscal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income for the second quarter of fiscal 2027 was $12.3 million, or $0.53 per diluted share, compared to $3.0 million, or $0.13 per diluted share, in the second quarter of fiscal 2026. Adjusted net income was $12.5 million, or $0.54 per diluted share, compared to $5.3 million, or $0.23 per diluted share, in the second quarter of fiscal 2026. Both net income and adjusted net income in the second quarter of fiscal 2027 included $2.5 million in IEEPA duty refunds plus interest thereon, net of taxes.</w:t>
            </w:r>
          </w:p>
        </w:tc>
      </w:tr>
    </w:tbl>
    <w:p>
      <w:pPr>
        <w:pStyle w:val="TextBody"/>
        <w:bidi w:val="0"/>
        <w:jc w:val="both"/>
        <w:rPr>
          <w:caps w:val="false"/>
          <w:smallCaps w:val="false"/>
        </w:rPr>
      </w:pPr>
      <w:r>
        <w:rPr>
          <w:caps w:val="false"/>
          <w:smallCaps w:val="false"/>
        </w:rPr>
        <w:t> </w:t>
      </w:r>
    </w:p>
    <w:p>
      <w:pPr>
        <w:pStyle w:val="TextBody"/>
        <w:bidi w:val="0"/>
        <w:spacing w:before="120" w:after="120"/>
        <w:ind w:left="120" w:right="1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First Half Fiscal 2027 Results (See attached table for GAAP and Non-GAAP measures)</w:t>
      </w:r>
      <w:r>
        <w:rPr>
          <w:rFonts w:ascii="Times New Roman;Times;Serif" w:hAnsi="Times New Roman;Times;Serif"/>
          <w:b/>
          <w:i w:val="false"/>
          <w:caps w:val="false"/>
          <w:smallCaps w:val="false"/>
          <w:sz w:val="20"/>
        </w:rPr>
        <w:tab/>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sales for the first six months of fiscal 2027 increased 6.3% to $312.2 million, or increased 4.5% on a constant-dollar basis, compared to $293.6 million in the first six months of fiscal 2026. The increase in net sales reflected increases across the Company’s owned and licensed brands and its Movado Company Stores. U.S. net sales increased 6.6% as compared to the first six months of last year. International net sales increased 6.1% (2.9% on a constant-dollar basis) as compared to the first six months of last year.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Gross profit was $182.4 million, or 58.4% of net sales, compared to $158.9 million, or 54.1% of net sales, in the first six months of fiscal 2026. The 430-basis-point improvement in gross margin included $3.2 million, or 100 basis points, from IEEPA duty refunds, as well as the positive impact of changes in channel and product mix.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Operating expenses were $160.5 million, as compared to $154.6 million in the first six months of fiscal 2026. As a percentage of sales, operating expenses were 51.4% of net sales versus 52.7% of net sales in the first six months last year. Adjusted operating expenses for the first six months of fiscal 2027 were $159.9 million, or 51.2% of net sales, versus $151.0 million, or 51.4% of net sales, for the first six months of fiscal 2026. The increase in adjusted operating expenses versus the same period of last year was primarily due to higher performance-based compensation and increased marketing and selling expenses to support the increased sales.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Operating income was $21.9 million compared to operating income of $4.3 million in the first six months of fiscal 2026. Adjusted operating income was $22.6 million for the first six months of fiscal 2027 compared to $7.9 million in the first six months of fiscal 2026. Both operating income and adjusted operating income for the first six months of fiscal 2027 included $3.2 million in IEEPA duty refunds.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recorded a tax provision of $5.5 million as compared to a tax provision of $2.6 million in the first six months of fiscal 2026. Based on adjusted pre-tax income, the adjusted tax provision for the first six months of fiscal 2027 was $5.6 million, or an adjusted tax rate of 22.1%. This compares to an adjusted tax provision of $3.4 million, or an adjusted tax rate of 32.4%, in the first six months of fiscal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income was $19.2 million, or $0.84 per diluted share, compared to net income of $4.4 million, or $0.20 per diluted share, in the first six months of last year. Adjusted net income for the first six months of fiscal 2027 was $19.7 million, or $0.86 per diluted share, compared to adjusted net income of $7.2 million, or $0.32 per diluted share, in the first six months of fiscal 2026. Both net income and adjusted net income for the first six months of fiscal 2027 included $2.5 million in IEEPA duty refunds plus interest thereon, net of taxes.</w:t>
            </w:r>
          </w:p>
        </w:tc>
      </w:tr>
    </w:tbl>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Quarterly Dividend and Share Repurchase Program</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that on August 26, 2026, the Board of Directors declared the payment on September 22, 2026, of a cash dividend in the amount of $0.40 for each share of the Company’s outstanding common stock and class A common stock held by shareholders of record as of the close of business on September 8,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six months of fiscal 2027, the Company repurchased 61,000 shares under its December 5, 2024, share repurchase program. As of July 31, 2026, the Company had $44.6 million remaining available under the share repurchase program.</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IEEPA Duty Refunds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pursuing refunds of approximately $10.0 million for the International Emergency Economic Powers Act (“IEEPA”) duties previously paid and expects to recover these amounts. As of July 31, 2026, the Company received $3.3 million in cash in respect of the refunds, including $0.1 million in interest. The underlying IEEPA duty amounts were recognized in cost of sales within the Company’s Consolidated Statements of Operations for inventory sold between February 2025 and May 2026. The $3.2 million IEEPA duty refund was reflected as a benefit to cost of sales in the second quarter of fiscal 2027, while the $0.1 million interest payment was reflected in other income,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Outlook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the Company remains committed to providing transparency and insight into its business, markets, and current trends. However, the Company has chosen to discontinue providing an annual outlook as it believes its focus is better served on the execution of its long-term strategy, which is expected to drive profitable growth and increased value for shareholders. As it relates to the second half of fiscal 2027, the Company expects to build on the momentum of the first half of the year to deliver topline growth in the mid-single-digit range and gross margin in a range of 55% to 56%, excluding any additional IEEPA duty refunds.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management will host a conference call and audio webcast to discuss its results today, August 26, 2026, at 9:00 a.m. Eastern Time. The conference call may be accessed by dialing (877) 407-0784. Additionally, a live webcast of the call can be accessed at </w:t>
      </w:r>
      <w:r>
        <w:rPr>
          <w:rFonts w:ascii="Times New Roman;Times;Serif" w:hAnsi="Times New Roman;Times;Serif"/>
          <w:b/>
          <w:i w:val="false"/>
          <w:caps w:val="false"/>
          <w:smallCaps w:val="false"/>
          <w:sz w:val="20"/>
        </w:rPr>
        <w:t>www.movadogroup.com</w:t>
      </w:r>
      <w:r>
        <w:rPr>
          <w:rFonts w:ascii="Times New Roman;Times;Serif" w:hAnsi="Times New Roman;Times;Serif"/>
          <w:b w:val="false"/>
          <w:i w:val="false"/>
          <w:caps w:val="false"/>
          <w:smallCaps w:val="false"/>
          <w:sz w:val="20"/>
        </w:rPr>
        <w:t>. The webcast will be archived on the Company’s website approximately one hour after the conclusion of the call. Additionally, a telephonic replay of the call will be available at 1:00 p.m. ET on August 26, 2026, until 11:59 p.m. ET on September 9, 2026, and can be accessed by dialing (844) 512-2921 and entering replay number 13762314.</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Movado Group, Inc. designs, sources, and distributes MOVADO®, MVMT®, OLIVIA BURTON®, EBEL®, CONCORD®, CALVIN KLEIN®, COACH®, TOMMY HILFIGER®, HUGO BOSS®, and LACOSTE® watches, and, to a lesser extent, jewelry and other accessories, and operates Movado Company Stores in the United States and Canada.</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In this release, the Company presents certain financial measures that are not calculated according to generally accepted accounting principles in the United States (“GAAP”). Specifically, the Company is presenting adjusted operating expenses, adjusted operating income, adjusted pre-tax income, adjusted tax provision, adjusted net income and adjusted diluted earnings per share, which are operating expenses, operating income, pre-tax income, tax provision, net income and diluted earnings per share, respectively, under GAAP, adjusted to eliminate costs due to the investigation referred to above and the establishment of a provision for a cost-savings initiative. The Company believes the adjusted measures are useful because they give investors information about the Company’s financial performance without the effect of certain items that the Company believes are not characteristic of its usual operations. Additionally, the Company is presenting constant-currency information to provide a framework to assess how its business performed excluding the effects of foreign currency exchange rate fluctuations in the current period. Comparisons of financial results on a constant-dollar basis are calculated by translating each foreign currency at the same U.S. dollar exchange rate as in effect for the prior-year period for both periods being compared. The Company believes this information is useful to investors to facilitate comparisons of operating results. These non-GAAP financial measures are designed to complement the GAAP financial information presented in this release. The non-GAAP financial measures presented should not be considered in isolation from or as a substitute for the comparable GAAP financial measures, and the methods of their calculation may differ substantially from similarly titled measures used by other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This press release contains certain forward-looking statements within the meaning of the Private Securities Litigation Reform Act of 1995. The Company has tried, whenever possible, to identify these forward-looking statements using words such as “expects,” “anticipates,” “believes,” “targets,” “goals,” “projects,” “intends,” “plans,” “seeks,” “estimates,” “may,” “will,” “should” and variations of such words and similar expressions. Similarly, statements in this press release that describe the Company's business strategy, outlook, objectives, plans, intentions or goals are also forward-looking statements. Accordingly, such forward-looking statements involve known and unknown risks, uncertainties and other factors that could cause the Company's actual results, performance or achievements and levels of future dividends to differ materially from those expressed in, or implied by, these statements. These risks and uncertainties may include, but are not limited to the Company’s ability to maintain effective internal control over financial reporting in the future, general economic and business conditions which may impact disposable income of consumers in the United States and the other significant markets (including Europe) where the Company’s products are sold, uncertainty regarding such economic and business conditions, including inflation, elevated interest rates, increased commodity prices and tightness in the labor market, trends in consumer debt levels and bad debt write-offs, general uncertainty related to geopolitical concerns, the increase in tariffs and other trade barriers, the impact of international hostilities, including the Russian invasion of Ukraine and war in the Middle East, on global markets, economies and consumer spending, on energy and shipping costs, and on the Company’s supply chain and suppliers, supply disruptions, delivery delays and increased shipping costs, defaults on or downgrades of sovereign debt and the impact of any of those events on consumer spending, evolving stakeholder expectations and emerging complex laws on environmental, social, and governance matters, changes in consumer preferences and popularity of particular designs, new product development and introduction, decrease in mall traffic and increase in e-commerce, the ability of the Company to successfully implement its business strategies, competitive products and pricing, including price increases to offset increased costs, the impact of “smart” watches and other wearable tech products on the traditional watch market, seasonality, availability of alternative sources of supply in the case of the loss of any significant supplier or any supplier’s inability to fulfill the Company’s orders, the loss of or curtailed sales to significant customers, the Company’s dependence on key employees and officers, the ability to successfully integrate the operations of acquired businesses without disruption to other business activities, the possible impairment of acquired intangible assets, including long-lived assets, risks associated with the Company’s minority investments in early-stage growth companies and venture capital funds that invest in such companies, the continuation of the Company’s major warehouse and distribution centers, the continuation of licensing arrangements with third parties, losses possible from pending or future litigation and administrative proceedings, the ability to secure and protect trademarks, patents and other intellectual property rights, the ability to lease new stores on suitable terms in desired markets and to complete construction on a timely basis, the ability of the Company to successfully manage its expenses on a continuing basis, information systems failure or breaches of network security, including cybersecurity risks posed by increasing reliance on cloud services and generative artificial intelligence, complex and quickly-evolving regulations regarding privacy and data protection, regulatory restrictions and a changing marketing environment, including the movement toward a cookieless future and increased digital advertising costs, requirements to meet environmental, social and governance regulations, expectations or standards, including climate change-related risks and regulatory requirements, the impact of current or future cost reduction, streamlining, restructuring or business optimization initiatives, risks associated with laws and regulations relating to supply chain transparency and forced labor, changes to existing laws or regulations, including changes to tax laws or regulations, the continued availability to the Company of financing and credit on favorable terms, business disruptions, and general risks associated with doing business internationally, including, without limitation, import duties, tariffs (including retaliatory tariffs, the potential imposition of tariffs under alternative statutory authorities and the Company’s ability to receive additional refunds for IEEPA duties previously paid), quotas, political and economic stability, anti-corruption and anti-bribery laws, changes to existing laws or regulations, and impacts of currency exchange rate fluctuations and the success of hedging strategies related thereto, and the other factors discussed in the Company’s Annual Report on Form 10-K and other filings with the Securities and Exchange Commission. These statements reflect the Company's current beliefs and are based upon information currently available to it. Be advised that developments subsequent to this press release are likely to cause these statements to become outdated with the passage of time. The Company assumes no duty to update its forward-looking statements and this release shall not be construed to indicate the assumption by the Company of any duty to update its outlook in the future.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(Tables to follow)</w:t>
      </w:r>
    </w:p>
    <w:p>
      <w:pPr>
        <w:pStyle w:val="TextBody"/>
        <w:bidi w:val="0"/>
        <w:jc w:val="center"/>
        <w:rPr>
          <w:caps w:val="false"/>
          <w:smallCaps w:val="false"/>
        </w:rPr>
      </w:pPr>
      <w:r>
        <w:rPr>
          <w:caps w:val="false"/>
          <w:smallCaps w:val="false"/>
        </w:rPr>
        <w:t> </w:t>
      </w:r>
    </w:p>
    <w:p>
      <w:pPr>
        <w:pStyle w:val="TextBody"/>
        <w:bidi w:val="0"/>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MOVADO GROUP,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4625"/>
        <w:gridCol w:w="60"/>
        <w:gridCol w:w="125"/>
        <w:gridCol w:w="695"/>
        <w:gridCol w:w="80"/>
        <w:gridCol w:w="60"/>
        <w:gridCol w:w="125"/>
        <w:gridCol w:w="695"/>
        <w:gridCol w:w="80"/>
        <w:gridCol w:w="60"/>
        <w:gridCol w:w="125"/>
        <w:gridCol w:w="695"/>
        <w:gridCol w:w="80"/>
        <w:gridCol w:w="60"/>
        <w:gridCol w:w="125"/>
        <w:gridCol w:w="695"/>
        <w:gridCol w:w="95"/>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5"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3"/>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169,752</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161,829</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312,154</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293,598</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68,927</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74,264</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129,736</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134,683</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100,825</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87,565</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182,418</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158,915</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85,947</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83,558</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160,525</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154,617</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14,878</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21,893</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Non-operating income/(expense):</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95" w:type="dxa"/>
            <w:tcBorders/>
            <w:shd w:fill="C6F4F9"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16,025</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5,099</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24,899</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7,039</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3,535</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5,483</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12,490</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3,138</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19,416</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Movado Group, Inc.</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12,299</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19,229</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4,406</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25"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Income Per Share Information</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95" w:type="dxa"/>
            <w:tcBorders/>
            <w:shd w:fill="C6F4F9"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share attributable to Movado Group,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95" w:type="dxa"/>
            <w:tcBorders/>
            <w:shd w:fill="C6F4F9"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diluted average shares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MOVADO GROUP,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AND NON-GAAP MEASURES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percentage data)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2960"/>
        <w:gridCol w:w="60"/>
        <w:gridCol w:w="125"/>
        <w:gridCol w:w="695"/>
        <w:gridCol w:w="60"/>
        <w:gridCol w:w="60"/>
        <w:gridCol w:w="125"/>
        <w:gridCol w:w="695"/>
        <w:gridCol w:w="60"/>
        <w:gridCol w:w="60"/>
        <w:gridCol w:w="103"/>
        <w:gridCol w:w="472"/>
        <w:gridCol w:w="34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920" w:type="dxa"/>
            <w:gridSpan w:val="3"/>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3"/>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472" w:type="dxa"/>
            <w:tcBorders/>
            <w:vAlign w:val="center"/>
          </w:tcPr>
          <w:p>
            <w:pPr>
              <w:pStyle w:val="TableContents"/>
              <w:bidi w:val="0"/>
              <w:spacing w:before="0" w:after="283"/>
              <w:jc w:val="center"/>
              <w:rPr/>
            </w:pPr>
            <w:r>
              <w:rPr/>
              <w:t> </w:t>
            </w:r>
          </w:p>
        </w:tc>
        <w:tc>
          <w:tcPr>
            <w:tcW w:w="345" w:type="dxa"/>
            <w:tcBorders/>
            <w:vAlign w:val="center"/>
          </w:tcPr>
          <w:p>
            <w:pPr>
              <w:pStyle w:val="TableContents"/>
              <w:bidi w:val="0"/>
              <w:spacing w:before="0" w:after="283"/>
              <w:jc w:val="center"/>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right"/>
              <w:rPr/>
            </w:pPr>
            <w:r>
              <w:rPr/>
              <w:t> </w:t>
            </w:r>
          </w:p>
        </w:tc>
        <w:tc>
          <w:tcPr>
            <w:tcW w:w="345" w:type="dxa"/>
            <w:tcBorders/>
            <w:vAlign w:val="center"/>
          </w:tcPr>
          <w:p>
            <w:pPr>
              <w:pStyle w:val="TableContents"/>
              <w:bidi w:val="0"/>
              <w:spacing w:before="0" w:after="283"/>
              <w:jc w:val="left"/>
              <w:rPr/>
            </w:pPr>
            <w:r>
              <w:rPr/>
              <w:t> </w:t>
            </w:r>
          </w:p>
        </w:tc>
      </w:tr>
      <w:tr>
        <w:trPr/>
        <w:tc>
          <w:tcPr>
            <w:tcW w:w="29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sales, as reported</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169,752</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161,829</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34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 </w:t>
            </w:r>
          </w:p>
        </w:tc>
        <w:tc>
          <w:tcPr>
            <w:tcW w:w="345" w:type="dxa"/>
            <w:tcBorders/>
            <w:shd w:fill="FFFFFF" w:val="clear"/>
            <w:vAlign w:val="center"/>
          </w:tcPr>
          <w:p>
            <w:pPr>
              <w:pStyle w:val="TableContents"/>
              <w:bidi w:val="0"/>
              <w:spacing w:before="0" w:after="283"/>
              <w:jc w:val="left"/>
              <w:rPr/>
            </w:pPr>
            <w:r>
              <w:rPr/>
              <w:t> </w:t>
            </w:r>
          </w:p>
        </w:tc>
      </w:tr>
      <w:tr>
        <w:trPr/>
        <w:tc>
          <w:tcPr>
            <w:tcW w:w="29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sales, constant dollar basis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169,020</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161,829</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34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283"/>
        <w:jc w:val="left"/>
        <w:rPr/>
      </w:pPr>
      <w:r>
        <w:rPr/>
        <w:t> </w:t>
      </w:r>
    </w:p>
    <w:tbl>
      <w:tblPr>
        <w:tblW w:w="5820" w:type="dxa"/>
        <w:jc w:val="left"/>
        <w:tblInd w:w="0" w:type="dxa"/>
        <w:tblLayout w:type="fixed"/>
        <w:tblCellMar>
          <w:top w:w="0" w:type="dxa"/>
          <w:left w:w="0" w:type="dxa"/>
          <w:bottom w:w="0" w:type="dxa"/>
          <w:right w:w="0" w:type="dxa"/>
        </w:tblCellMar>
      </w:tblPr>
      <w:tblGrid>
        <w:gridCol w:w="2960"/>
        <w:gridCol w:w="60"/>
        <w:gridCol w:w="125"/>
        <w:gridCol w:w="695"/>
        <w:gridCol w:w="60"/>
        <w:gridCol w:w="60"/>
        <w:gridCol w:w="125"/>
        <w:gridCol w:w="695"/>
        <w:gridCol w:w="60"/>
        <w:gridCol w:w="60"/>
        <w:gridCol w:w="103"/>
        <w:gridCol w:w="472"/>
        <w:gridCol w:w="34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60" w:type="dxa"/>
            <w:tcBorders/>
            <w:vAlign w:val="center"/>
          </w:tcPr>
          <w:p>
            <w:pPr>
              <w:pStyle w:val="TableContents"/>
              <w:bidi w:val="0"/>
              <w:spacing w:before="0" w:after="283"/>
              <w:jc w:val="left"/>
              <w:rPr/>
            </w:pPr>
            <w:r>
              <w:rPr/>
              <w:t> </w:t>
            </w:r>
          </w:p>
        </w:tc>
        <w:tc>
          <w:tcPr>
            <w:tcW w:w="920" w:type="dxa"/>
            <w:gridSpan w:val="3"/>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3"/>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right"/>
              <w:rPr/>
            </w:pPr>
            <w:r>
              <w:rPr/>
              <w:t> </w:t>
            </w:r>
          </w:p>
        </w:tc>
        <w:tc>
          <w:tcPr>
            <w:tcW w:w="345" w:type="dxa"/>
            <w:tcBorders/>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 </w:t>
            </w:r>
          </w:p>
        </w:tc>
        <w:tc>
          <w:tcPr>
            <w:tcW w:w="345" w:type="dxa"/>
            <w:tcBorders/>
            <w:shd w:fill="FFFFFF" w:val="clear"/>
            <w:vAlign w:val="center"/>
          </w:tcPr>
          <w:p>
            <w:pPr>
              <w:pStyle w:val="TableContents"/>
              <w:bidi w:val="0"/>
              <w:spacing w:before="0" w:after="283"/>
              <w:jc w:val="left"/>
              <w:rPr/>
            </w:pPr>
            <w:r>
              <w:rPr/>
              <w:t> </w:t>
            </w:r>
          </w:p>
        </w:tc>
      </w:tr>
      <w:tr>
        <w:trPr/>
        <w:tc>
          <w:tcPr>
            <w:tcW w:w="29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sales, as reported</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312,154</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293,598</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34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 </w:t>
            </w:r>
          </w:p>
        </w:tc>
        <w:tc>
          <w:tcPr>
            <w:tcW w:w="345" w:type="dxa"/>
            <w:tcBorders/>
            <w:shd w:fill="FFFFFF" w:val="clear"/>
            <w:vAlign w:val="center"/>
          </w:tcPr>
          <w:p>
            <w:pPr>
              <w:pStyle w:val="TableContents"/>
              <w:bidi w:val="0"/>
              <w:spacing w:before="0" w:after="283"/>
              <w:jc w:val="left"/>
              <w:rPr/>
            </w:pPr>
            <w:r>
              <w:rPr/>
              <w:t> </w:t>
            </w:r>
          </w:p>
        </w:tc>
      </w:tr>
      <w:tr>
        <w:trPr/>
        <w:tc>
          <w:tcPr>
            <w:tcW w:w="29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sales, constant dollar basis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306,761</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293,598</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47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34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MOVADO GROUP,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AND NON-GAAP MEASURES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3"/>
        <w:gridCol w:w="60"/>
        <w:gridCol w:w="125"/>
        <w:gridCol w:w="695"/>
        <w:gridCol w:w="60"/>
        <w:gridCol w:w="60"/>
        <w:gridCol w:w="129"/>
        <w:gridCol w:w="720"/>
        <w:gridCol w:w="62"/>
        <w:gridCol w:w="60"/>
        <w:gridCol w:w="177"/>
        <w:gridCol w:w="843"/>
        <w:gridCol w:w="116"/>
        <w:gridCol w:w="60"/>
        <w:gridCol w:w="163"/>
        <w:gridCol w:w="772"/>
        <w:gridCol w:w="79"/>
        <w:gridCol w:w="60"/>
        <w:gridCol w:w="141"/>
        <w:gridCol w:w="667"/>
        <w:gridCol w:w="67"/>
        <w:gridCol w:w="60"/>
        <w:gridCol w:w="206"/>
        <w:gridCol w:w="802"/>
        <w:gridCol w:w="100"/>
        <w:gridCol w:w="60"/>
        <w:gridCol w:w="258"/>
        <w:gridCol w:w="1222"/>
        <w:gridCol w:w="124"/>
        <w:gridCol w:w="60"/>
        <w:gridCol w:w="156"/>
        <w:gridCol w:w="474"/>
        <w:gridCol w:w="104"/>
      </w:tblGrid>
      <w:tr>
        <w:trPr/>
        <w:tc>
          <w:tcPr>
            <w:tcW w:w="1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1"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 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gridSpan w:val="3"/>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 for Income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Movado Group,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EPS</w:t>
            </w:r>
          </w:p>
        </w:tc>
      </w:tr>
      <w:tr>
        <w:trPr/>
        <w:tc>
          <w:tcPr>
            <w:tcW w:w="14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July 31, 2026</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gridSpan w:val="3"/>
            <w:tcBorders/>
            <w:vAlign w:val="center"/>
          </w:tcPr>
          <w:p>
            <w:pPr>
              <w:pStyle w:val="TableContents"/>
              <w:bidi w:val="0"/>
              <w:spacing w:before="0" w:after="283"/>
              <w:jc w:val="left"/>
              <w:rPr/>
            </w:pPr>
            <w:r>
              <w:rPr/>
              <w:t> </w:t>
            </w:r>
          </w:p>
        </w:tc>
      </w:tr>
      <w:tr>
        <w:trPr/>
        <w:tc>
          <w:tcPr>
            <w:tcW w:w="1463"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(GAAP)</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169,752</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100,825</w:t>
            </w:r>
          </w:p>
        </w:tc>
        <w:tc>
          <w:tcPr>
            <w:tcW w:w="6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85,947</w:t>
            </w:r>
          </w:p>
        </w:tc>
        <w:tc>
          <w:tcPr>
            <w:tcW w:w="116"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14,878</w:t>
            </w:r>
          </w:p>
        </w:tc>
        <w:tc>
          <w:tcPr>
            <w:tcW w:w="79"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7"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16,025</w:t>
            </w:r>
          </w:p>
        </w:tc>
        <w:tc>
          <w:tcPr>
            <w:tcW w:w="6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3,535</w:t>
            </w:r>
          </w:p>
        </w:tc>
        <w:tc>
          <w:tcPr>
            <w:tcW w:w="10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12,299</w:t>
            </w:r>
          </w:p>
        </w:tc>
        <w:tc>
          <w:tcPr>
            <w:tcW w:w="12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4"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10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Dubai matter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1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Results (Non-GAAP)</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169,752</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100,825</w:t>
            </w:r>
          </w:p>
        </w:tc>
        <w:tc>
          <w:tcPr>
            <w:tcW w:w="6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85,749</w:t>
            </w:r>
          </w:p>
        </w:tc>
        <w:tc>
          <w:tcPr>
            <w:tcW w:w="116"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15,076</w:t>
            </w:r>
          </w:p>
        </w:tc>
        <w:tc>
          <w:tcPr>
            <w:tcW w:w="79"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7"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16,223</w:t>
            </w:r>
          </w:p>
        </w:tc>
        <w:tc>
          <w:tcPr>
            <w:tcW w:w="6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3,582</w:t>
            </w:r>
          </w:p>
        </w:tc>
        <w:tc>
          <w:tcPr>
            <w:tcW w:w="10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12,450</w:t>
            </w:r>
          </w:p>
        </w:tc>
        <w:tc>
          <w:tcPr>
            <w:tcW w:w="12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4"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10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r>
      <w:tr>
        <w:trPr/>
        <w:tc>
          <w:tcPr>
            <w:tcW w:w="1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right"/>
              <w:rPr/>
            </w:pPr>
            <w:r>
              <w:rPr/>
              <w:t> </w:t>
            </w:r>
          </w:p>
        </w:tc>
        <w:tc>
          <w:tcPr>
            <w:tcW w:w="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146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July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r>
      <w:tr>
        <w:trPr/>
        <w:tc>
          <w:tcPr>
            <w:tcW w:w="1463"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(GAAP)</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161,829</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87,565</w:t>
            </w:r>
          </w:p>
        </w:tc>
        <w:tc>
          <w:tcPr>
            <w:tcW w:w="6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83,558</w:t>
            </w:r>
          </w:p>
        </w:tc>
        <w:tc>
          <w:tcPr>
            <w:tcW w:w="116"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w:t>
            </w:r>
          </w:p>
        </w:tc>
        <w:tc>
          <w:tcPr>
            <w:tcW w:w="79"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7"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5,099</w:t>
            </w:r>
          </w:p>
        </w:tc>
        <w:tc>
          <w:tcPr>
            <w:tcW w:w="6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tc>
        <w:tc>
          <w:tcPr>
            <w:tcW w:w="10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w:t>
            </w:r>
          </w:p>
        </w:tc>
        <w:tc>
          <w:tcPr>
            <w:tcW w:w="12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4"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10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Dubai matter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w:t>
            </w:r>
          </w:p>
        </w:tc>
        <w:tc>
          <w:tcPr>
            <w:tcW w:w="1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Cost-Savings Initiative (2)</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0" w:type="dxa"/>
            <w:tcBorders>
              <w:bottom w:val="single" w:sz="8" w:space="0" w:color="000000"/>
            </w:tcBorders>
            <w:shd w:fill="C6F4F9"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116"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79"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7"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6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10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w:t>
            </w:r>
          </w:p>
        </w:tc>
        <w:tc>
          <w:tcPr>
            <w:tcW w:w="12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0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14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Results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87,565</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80,550</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7,015</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8,107</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5,289</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7"/>
        <w:gridCol w:w="60"/>
        <w:gridCol w:w="125"/>
        <w:gridCol w:w="695"/>
        <w:gridCol w:w="60"/>
        <w:gridCol w:w="60"/>
        <w:gridCol w:w="129"/>
        <w:gridCol w:w="720"/>
        <w:gridCol w:w="62"/>
        <w:gridCol w:w="60"/>
        <w:gridCol w:w="159"/>
        <w:gridCol w:w="884"/>
        <w:gridCol w:w="101"/>
        <w:gridCol w:w="60"/>
        <w:gridCol w:w="163"/>
        <w:gridCol w:w="772"/>
        <w:gridCol w:w="79"/>
        <w:gridCol w:w="60"/>
        <w:gridCol w:w="141"/>
        <w:gridCol w:w="667"/>
        <w:gridCol w:w="67"/>
        <w:gridCol w:w="60"/>
        <w:gridCol w:w="205"/>
        <w:gridCol w:w="801"/>
        <w:gridCol w:w="100"/>
        <w:gridCol w:w="60"/>
        <w:gridCol w:w="258"/>
        <w:gridCol w:w="1222"/>
        <w:gridCol w:w="124"/>
        <w:gridCol w:w="60"/>
        <w:gridCol w:w="156"/>
        <w:gridCol w:w="473"/>
        <w:gridCol w:w="105"/>
      </w:tblGrid>
      <w:tr>
        <w:trPr/>
        <w:tc>
          <w:tcPr>
            <w:tcW w:w="14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1"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 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gridSpan w:val="3"/>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 for Income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Movado Group,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EPS</w:t>
            </w:r>
          </w:p>
        </w:tc>
      </w:tr>
      <w:tr>
        <w:trPr/>
        <w:tc>
          <w:tcPr>
            <w:tcW w:w="14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July 31, 2026</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gridSpan w:val="3"/>
            <w:tcBorders/>
            <w:vAlign w:val="center"/>
          </w:tcPr>
          <w:p>
            <w:pPr>
              <w:pStyle w:val="TableContents"/>
              <w:bidi w:val="0"/>
              <w:spacing w:before="0" w:after="283"/>
              <w:jc w:val="left"/>
              <w:rPr/>
            </w:pPr>
            <w:r>
              <w:rPr/>
              <w:t> </w:t>
            </w:r>
          </w:p>
        </w:tc>
      </w:tr>
      <w:tr>
        <w:trPr/>
        <w:tc>
          <w:tcPr>
            <w:tcW w:w="1457"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(GAAP)</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312,154</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182,418</w:t>
            </w:r>
          </w:p>
        </w:tc>
        <w:tc>
          <w:tcPr>
            <w:tcW w:w="6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160,525</w:t>
            </w:r>
          </w:p>
        </w:tc>
        <w:tc>
          <w:tcPr>
            <w:tcW w:w="101"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21,893</w:t>
            </w:r>
          </w:p>
        </w:tc>
        <w:tc>
          <w:tcPr>
            <w:tcW w:w="79"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7"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24,899</w:t>
            </w:r>
          </w:p>
        </w:tc>
        <w:tc>
          <w:tcPr>
            <w:tcW w:w="6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1"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5,483</w:t>
            </w:r>
          </w:p>
        </w:tc>
        <w:tc>
          <w:tcPr>
            <w:tcW w:w="10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19,229</w:t>
            </w:r>
          </w:p>
        </w:tc>
        <w:tc>
          <w:tcPr>
            <w:tcW w:w="12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3"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10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1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Dubai matter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57"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Results (Non-GAAP)</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312,154</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182,418</w:t>
            </w:r>
          </w:p>
        </w:tc>
        <w:tc>
          <w:tcPr>
            <w:tcW w:w="6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159,861</w:t>
            </w:r>
          </w:p>
        </w:tc>
        <w:tc>
          <w:tcPr>
            <w:tcW w:w="101"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22,557</w:t>
            </w:r>
          </w:p>
        </w:tc>
        <w:tc>
          <w:tcPr>
            <w:tcW w:w="79"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7"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25,563</w:t>
            </w:r>
          </w:p>
        </w:tc>
        <w:tc>
          <w:tcPr>
            <w:tcW w:w="6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1"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5,642</w:t>
            </w:r>
          </w:p>
        </w:tc>
        <w:tc>
          <w:tcPr>
            <w:tcW w:w="10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19,734</w:t>
            </w:r>
          </w:p>
        </w:tc>
        <w:tc>
          <w:tcPr>
            <w:tcW w:w="12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3"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10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14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r>
      <w:tr>
        <w:trPr/>
        <w:tc>
          <w:tcPr>
            <w:tcW w:w="14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right"/>
              <w:rPr/>
            </w:pPr>
            <w:r>
              <w:rPr/>
              <w:t> </w:t>
            </w:r>
          </w:p>
        </w:tc>
        <w:tc>
          <w:tcPr>
            <w:tcW w:w="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r>
      <w:tr>
        <w:trPr/>
        <w:tc>
          <w:tcPr>
            <w:tcW w:w="145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July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r>
      <w:tr>
        <w:trPr/>
        <w:tc>
          <w:tcPr>
            <w:tcW w:w="1457"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(GAAP)</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293,598</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158,915</w:t>
            </w:r>
          </w:p>
        </w:tc>
        <w:tc>
          <w:tcPr>
            <w:tcW w:w="6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154,617</w:t>
            </w:r>
          </w:p>
        </w:tc>
        <w:tc>
          <w:tcPr>
            <w:tcW w:w="101"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79"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7"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7,039</w:t>
            </w:r>
          </w:p>
        </w:tc>
        <w:tc>
          <w:tcPr>
            <w:tcW w:w="6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1"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w:t>
            </w:r>
          </w:p>
        </w:tc>
        <w:tc>
          <w:tcPr>
            <w:tcW w:w="10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4,406</w:t>
            </w:r>
          </w:p>
        </w:tc>
        <w:tc>
          <w:tcPr>
            <w:tcW w:w="12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3"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10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1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Dubai matter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57"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Cost-Savings Initiative (2)</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0" w:type="dxa"/>
            <w:tcBorders>
              <w:bottom w:val="single" w:sz="8" w:space="0" w:color="000000"/>
            </w:tcBorders>
            <w:shd w:fill="C6F4F9"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4"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w:t>
            </w:r>
          </w:p>
        </w:tc>
        <w:tc>
          <w:tcPr>
            <w:tcW w:w="101"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w:t>
            </w:r>
          </w:p>
        </w:tc>
        <w:tc>
          <w:tcPr>
            <w:tcW w:w="79"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7"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w:t>
            </w:r>
          </w:p>
        </w:tc>
        <w:tc>
          <w:tcPr>
            <w:tcW w:w="6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1"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10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w:t>
            </w:r>
          </w:p>
        </w:tc>
        <w:tc>
          <w:tcPr>
            <w:tcW w:w="124"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3"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10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145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Results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158,915</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151,030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7,885</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10,626</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7,169</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sz w:val="20"/>
        </w:rPr>
      </w:pPr>
      <w:r>
        <w:rPr>
          <w:rFonts w:ascii="Times New Roman;Times;Serif" w:hAnsi="Times New Roman;Times;Serif"/>
          <w:sz w:val="20"/>
        </w:rPr>
        <w:t>(1) Costs related to the investigation of misconduct within the Dubai branch of the Company's Swiss subsidiary.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Related to the establishment of a provision for a corporate cost-savings initiative.</w:t>
      </w:r>
    </w:p>
    <w:p>
      <w:pPr>
        <w:pStyle w:val="TextBody"/>
        <w:bidi w:val="0"/>
        <w:spacing w:before="0" w:after="283"/>
        <w:jc w:val="left"/>
        <w:rPr/>
      </w:pPr>
      <w:r>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MOVADO GROUP,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6854" w:type="dxa"/>
        <w:jc w:val="left"/>
        <w:tblInd w:w="0" w:type="dxa"/>
        <w:tblLayout w:type="fixed"/>
        <w:tblCellMar>
          <w:top w:w="0" w:type="dxa"/>
          <w:left w:w="0" w:type="dxa"/>
          <w:bottom w:w="0" w:type="dxa"/>
          <w:right w:w="0" w:type="dxa"/>
        </w:tblCellMar>
      </w:tblPr>
      <w:tblGrid>
        <w:gridCol w:w="3860"/>
        <w:gridCol w:w="60"/>
        <w:gridCol w:w="125"/>
        <w:gridCol w:w="695"/>
        <w:gridCol w:w="60"/>
        <w:gridCol w:w="60"/>
        <w:gridCol w:w="147"/>
        <w:gridCol w:w="820"/>
        <w:gridCol w:w="72"/>
        <w:gridCol w:w="60"/>
        <w:gridCol w:w="125"/>
        <w:gridCol w:w="695"/>
        <w:gridCol w:w="7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3"/>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ASSETS</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3"/>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3"/>
            <w:tcBorders/>
            <w:vAlign w:val="center"/>
          </w:tcPr>
          <w:p>
            <w:pPr>
              <w:pStyle w:val="TableContents"/>
              <w:bidi w:val="0"/>
              <w:spacing w:before="0" w:after="283"/>
              <w:jc w:val="left"/>
              <w:rPr/>
            </w:pPr>
            <w:r>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211,612</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230,541</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180,493</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102,037</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196,463</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158,331</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211,504</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22,208</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receivable</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5,159</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4,118</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6,848</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527,175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517,235</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516,191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47" w:type="dxa"/>
            <w:tcBorders/>
            <w:shd w:fill="C6F4F9" w:val="clear"/>
            <w:vAlign w:val="center"/>
          </w:tcPr>
          <w:p>
            <w:pPr>
              <w:pStyle w:val="TableContents"/>
              <w:bidi w:val="0"/>
              <w:spacing w:before="0" w:after="283"/>
              <w:jc w:val="left"/>
              <w:rPr/>
            </w:pPr>
            <w:r>
              <w:rPr/>
              <w:t> </w:t>
            </w:r>
          </w:p>
        </w:tc>
        <w:tc>
          <w:tcPr>
            <w:tcW w:w="820" w:type="dxa"/>
            <w:tcBorders/>
            <w:shd w:fill="C6F4F9" w:val="clear"/>
            <w:vAlign w:val="center"/>
          </w:tcPr>
          <w:p>
            <w:pPr>
              <w:pStyle w:val="TableContents"/>
              <w:bidi w:val="0"/>
              <w:spacing w:before="0" w:after="283"/>
              <w:jc w:val="right"/>
              <w:rPr/>
            </w:pPr>
            <w:r>
              <w:rPr/>
              <w:t> </w:t>
            </w:r>
          </w:p>
        </w:tc>
        <w:tc>
          <w:tcPr>
            <w:tcW w:w="7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75" w:type="dxa"/>
            <w:tcBorders/>
            <w:shd w:fill="C6F4F9"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17,105</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58,569</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67,873</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77,130</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and non-current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45,917</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intangibles, net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4,930</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90,329</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assets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743,344</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0"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742,621</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748,719</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LIABILITIES AND EQUITY</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47" w:type="dxa"/>
            <w:tcBorders/>
            <w:shd w:fill="C6F4F9" w:val="clear"/>
            <w:vAlign w:val="center"/>
          </w:tcPr>
          <w:p>
            <w:pPr>
              <w:pStyle w:val="TableContents"/>
              <w:bidi w:val="0"/>
              <w:spacing w:before="0" w:after="283"/>
              <w:jc w:val="left"/>
              <w:rPr/>
            </w:pPr>
            <w:r>
              <w:rPr/>
              <w:t> </w:t>
            </w:r>
          </w:p>
        </w:tc>
        <w:tc>
          <w:tcPr>
            <w:tcW w:w="820" w:type="dxa"/>
            <w:tcBorders/>
            <w:shd w:fill="C6F4F9" w:val="clear"/>
            <w:vAlign w:val="center"/>
          </w:tcPr>
          <w:p>
            <w:pPr>
              <w:pStyle w:val="TableContents"/>
              <w:bidi w:val="0"/>
              <w:spacing w:before="0" w:after="283"/>
              <w:jc w:val="right"/>
              <w:rPr/>
            </w:pPr>
            <w:r>
              <w:rPr/>
              <w:t> </w:t>
            </w:r>
          </w:p>
        </w:tc>
        <w:tc>
          <w:tcPr>
            <w:tcW w:w="7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75" w:type="dxa"/>
            <w:tcBorders/>
            <w:shd w:fill="C6F4F9"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35,591</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21,138</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35,347</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49,748</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benefits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12,837</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17,896</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11,426</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20,603</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3,663</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113,048</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47" w:type="dxa"/>
            <w:tcBorders/>
            <w:shd w:fill="C6F4F9" w:val="clear"/>
            <w:vAlign w:val="center"/>
          </w:tcPr>
          <w:p>
            <w:pPr>
              <w:pStyle w:val="TableContents"/>
              <w:bidi w:val="0"/>
              <w:spacing w:before="0" w:after="283"/>
              <w:jc w:val="left"/>
              <w:rPr/>
            </w:pPr>
            <w:r>
              <w:rPr/>
              <w:t> </w:t>
            </w:r>
          </w:p>
        </w:tc>
        <w:tc>
          <w:tcPr>
            <w:tcW w:w="820" w:type="dxa"/>
            <w:tcBorders/>
            <w:shd w:fill="C6F4F9" w:val="clear"/>
            <w:vAlign w:val="center"/>
          </w:tcPr>
          <w:p>
            <w:pPr>
              <w:pStyle w:val="TableContents"/>
              <w:bidi w:val="0"/>
              <w:spacing w:before="0" w:after="283"/>
              <w:jc w:val="right"/>
              <w:rPr/>
            </w:pPr>
            <w:r>
              <w:rPr/>
              <w:t> </w:t>
            </w:r>
          </w:p>
        </w:tc>
        <w:tc>
          <w:tcPr>
            <w:tcW w:w="7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75" w:type="dxa"/>
            <w:tcBorders/>
            <w:shd w:fill="C6F4F9"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and non-current income 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49,682</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58,063</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67,908</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60,220</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47" w:type="dxa"/>
            <w:tcBorders/>
            <w:shd w:fill="C6F4F9" w:val="clear"/>
            <w:vAlign w:val="center"/>
          </w:tcPr>
          <w:p>
            <w:pPr>
              <w:pStyle w:val="TableContents"/>
              <w:bidi w:val="0"/>
              <w:spacing w:before="0" w:after="283"/>
              <w:jc w:val="left"/>
              <w:rPr/>
            </w:pPr>
            <w:r>
              <w:rPr/>
              <w:t> </w:t>
            </w:r>
          </w:p>
        </w:tc>
        <w:tc>
          <w:tcPr>
            <w:tcW w:w="820" w:type="dxa"/>
            <w:tcBorders/>
            <w:shd w:fill="C6F4F9" w:val="clear"/>
            <w:vAlign w:val="center"/>
          </w:tcPr>
          <w:p>
            <w:pPr>
              <w:pStyle w:val="TableContents"/>
              <w:bidi w:val="0"/>
              <w:spacing w:before="0" w:after="283"/>
              <w:jc w:val="right"/>
              <w:rPr/>
            </w:pPr>
            <w:r>
              <w:rPr/>
              <w:t> </w:t>
            </w:r>
          </w:p>
        </w:tc>
        <w:tc>
          <w:tcPr>
            <w:tcW w:w="7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75" w:type="dxa"/>
            <w:tcBorders/>
            <w:shd w:fill="C6F4F9"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508,842</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489,913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47" w:type="dxa"/>
            <w:tcBorders/>
            <w:shd w:fill="C6F4F9" w:val="clear"/>
            <w:vAlign w:val="center"/>
          </w:tcPr>
          <w:p>
            <w:pPr>
              <w:pStyle w:val="TableContents"/>
              <w:bidi w:val="0"/>
              <w:spacing w:before="0" w:after="283"/>
              <w:jc w:val="left"/>
              <w:rPr/>
            </w:pPr>
            <w:r>
              <w:rPr/>
              <w:t> </w:t>
            </w:r>
          </w:p>
        </w:tc>
        <w:tc>
          <w:tcPr>
            <w:tcW w:w="820" w:type="dxa"/>
            <w:tcBorders/>
            <w:shd w:fill="C6F4F9" w:val="clear"/>
            <w:vAlign w:val="center"/>
          </w:tcPr>
          <w:p>
            <w:pPr>
              <w:pStyle w:val="TableContents"/>
              <w:bidi w:val="0"/>
              <w:spacing w:before="0" w:after="283"/>
              <w:jc w:val="right"/>
              <w:rPr/>
            </w:pPr>
            <w:r>
              <w:rPr/>
              <w:t> </w:t>
            </w:r>
          </w:p>
        </w:tc>
        <w:tc>
          <w:tcPr>
            <w:tcW w:w="7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75" w:type="dxa"/>
            <w:tcBorders/>
            <w:shd w:fill="C6F4F9"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6F4F9"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equity</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507,217</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510,260</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492,235</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6F4F9"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liabilities and equity</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743,344</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0"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742,621</w:t>
            </w:r>
          </w:p>
        </w:tc>
        <w:tc>
          <w:tcPr>
            <w:tcW w:w="72"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748,719</w:t>
            </w:r>
          </w:p>
        </w:tc>
        <w:tc>
          <w:tcPr>
            <w:tcW w:w="7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MOVADO GROUP,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8225" w:type="dxa"/>
        <w:jc w:val="left"/>
        <w:tblInd w:w="0" w:type="dxa"/>
        <w:tblLayout w:type="fixed"/>
        <w:tblCellMar>
          <w:top w:w="0" w:type="dxa"/>
          <w:left w:w="0" w:type="dxa"/>
          <w:bottom w:w="0" w:type="dxa"/>
          <w:right w:w="0" w:type="dxa"/>
        </w:tblCellMar>
      </w:tblPr>
      <w:tblGrid>
        <w:gridCol w:w="6290"/>
        <w:gridCol w:w="60"/>
        <w:gridCol w:w="125"/>
        <w:gridCol w:w="695"/>
        <w:gridCol w:w="80"/>
        <w:gridCol w:w="60"/>
        <w:gridCol w:w="125"/>
        <w:gridCol w:w="695"/>
        <w:gridCol w:w="95"/>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5"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r>
      <w:tr>
        <w:trPr/>
        <w:tc>
          <w:tcPr>
            <w:tcW w:w="6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7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3"/>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19,416</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4,418</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non-cash adjustments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4,750</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working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non-current assets and liabilities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8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9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95" w:type="dxa"/>
            <w:tcBorders/>
            <w:shd w:fill="C6F4F9"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w:t>
            </w:r>
          </w:p>
        </w:tc>
        <w:tc>
          <w:tcPr>
            <w:tcW w:w="8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(2,826</w:t>
            </w:r>
          </w:p>
        </w:tc>
        <w:tc>
          <w:tcPr>
            <w:tcW w:w="9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and other intangibles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(3,555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9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95" w:type="dxa"/>
            <w:tcBorders/>
            <w:shd w:fill="C6F4F9"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(16,642</w:t>
            </w:r>
          </w:p>
        </w:tc>
        <w:tc>
          <w:tcPr>
            <w:tcW w:w="8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(15,557</w:t>
            </w:r>
          </w:p>
        </w:tc>
        <w:tc>
          <w:tcPr>
            <w:tcW w:w="9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repurchases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and options exercised and other changes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95"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(18,407</w:t>
            </w:r>
          </w:p>
        </w:tc>
        <w:tc>
          <w:tcPr>
            <w:tcW w:w="80"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(17,618</w:t>
            </w:r>
          </w:p>
        </w:tc>
        <w:tc>
          <w:tcPr>
            <w:tcW w:w="95"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(3,542</w:t>
            </w:r>
          </w:p>
        </w:tc>
        <w:tc>
          <w:tcPr>
            <w:tcW w:w="8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6F4F9"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5,467</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period</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231,382</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209,214</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end of period</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212,417</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181,293</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cash, cash equivalents, and restricted cash:</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695" w:type="dxa"/>
            <w:tcBorders/>
            <w:shd w:fill="C6F4F9" w:val="clear"/>
            <w:vAlign w:val="center"/>
          </w:tcPr>
          <w:p>
            <w:pPr>
              <w:pStyle w:val="TableContents"/>
              <w:bidi w:val="0"/>
              <w:spacing w:before="0" w:after="283"/>
              <w:jc w:val="right"/>
              <w:rPr/>
            </w:pPr>
            <w:r>
              <w:rPr/>
              <w:t> </w:t>
            </w:r>
          </w:p>
        </w:tc>
        <w:tc>
          <w:tcPr>
            <w:tcW w:w="95" w:type="dxa"/>
            <w:tcBorders/>
            <w:shd w:fill="C6F4F9"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211,612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included in other non-current assets</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8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6F4F9"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95" w:type="dxa"/>
            <w:tcBorders/>
            <w:shd w:fill="C6F4F9"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212,417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181,293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4751</Words>
  <Characters>25728</Characters>
  <CharactersWithSpaces>31575</CharactersWithSpaces>
  <Paragraphs>2523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