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MOVADO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160" w:type="dxa"/>
            <w:vAlign w:val="bottom"/>
            <w:gridSpan w:val="3"/>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1-16497</w:t>
            </w: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highlight w:val="white"/>
                <w:w w:val="98"/>
              </w:rPr>
              <w:t>13-2595932</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040" w:type="dxa"/>
            <w:vAlign w:val="bottom"/>
          </w:tcPr>
          <w:p>
            <w:pPr>
              <w:jc w:val="center"/>
              <w:ind w:left="6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020" w:type="dxa"/>
            <w:vAlign w:val="bottom"/>
          </w:tcPr>
          <w:p>
            <w:pPr>
              <w:spacing w:after="0"/>
              <w:rPr>
                <w:sz w:val="17"/>
                <w:szCs w:val="17"/>
                <w:color w:val="auto"/>
              </w:rPr>
            </w:pPr>
          </w:p>
        </w:tc>
        <w:tc>
          <w:tcPr>
            <w:tcW w:w="3280" w:type="dxa"/>
            <w:vAlign w:val="bottom"/>
            <w:gridSpan w:val="4"/>
          </w:tcPr>
          <w:p>
            <w:pPr>
              <w:jc w:val="center"/>
              <w:ind w:right="216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900" w:type="dxa"/>
            <w:vAlign w:val="bottom"/>
            <w:gridSpan w:val="3"/>
          </w:tcPr>
          <w:p>
            <w:pPr>
              <w:jc w:val="center"/>
              <w:ind w:right="860"/>
              <w:spacing w:after="0" w:line="198"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020" w:type="dxa"/>
            <w:vAlign w:val="bottom"/>
          </w:tcPr>
          <w:p>
            <w:pPr>
              <w:spacing w:after="0"/>
              <w:rPr>
                <w:sz w:val="20"/>
                <w:szCs w:val="20"/>
                <w:color w:val="auto"/>
              </w:rPr>
            </w:pPr>
          </w:p>
        </w:tc>
        <w:tc>
          <w:tcPr>
            <w:tcW w:w="328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color w:val="auto"/>
                <w:w w:val="98"/>
              </w:rPr>
              <w:t>File Number)</w:t>
            </w:r>
          </w:p>
        </w:tc>
        <w:tc>
          <w:tcPr>
            <w:tcW w:w="29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5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650 FROM ROAD, SUITE 375</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80" w:type="dxa"/>
            <w:vAlign w:val="bottom"/>
            <w:gridSpan w:val="2"/>
          </w:tcPr>
          <w:p>
            <w:pPr>
              <w:ind w:left="1520"/>
              <w:spacing w:after="0" w:line="202" w:lineRule="exact"/>
              <w:rPr>
                <w:sz w:val="20"/>
                <w:szCs w:val="20"/>
                <w:color w:val="auto"/>
              </w:rPr>
            </w:pPr>
            <w:r>
              <w:rPr>
                <w:rFonts w:ascii="Times New Roman" w:cs="Times New Roman" w:eastAsia="Times New Roman" w:hAnsi="Times New Roman"/>
                <w:sz w:val="18"/>
                <w:szCs w:val="18"/>
                <w:b w:val="1"/>
                <w:bCs w:val="1"/>
                <w:color w:val="auto"/>
              </w:rPr>
              <w:t>PARAMUS, NJ</w:t>
            </w:r>
          </w:p>
        </w:tc>
        <w:tc>
          <w:tcPr>
            <w:tcW w:w="860" w:type="dxa"/>
            <w:vAlign w:val="bottom"/>
            <w:gridSpan w:val="2"/>
            <w:shd w:val="clear" w:color="auto" w:fill="FEFEFE"/>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highlight w:val="white"/>
                <w:w w:val="96"/>
              </w:rPr>
              <w:t>07652-3556</w:t>
            </w: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40" w:type="dxa"/>
            <w:vAlign w:val="bottom"/>
          </w:tcPr>
          <w:p>
            <w:pPr>
              <w:spacing w:after="0"/>
              <w:rPr>
                <w:sz w:val="19"/>
                <w:szCs w:val="19"/>
                <w:color w:val="auto"/>
              </w:rPr>
            </w:pPr>
          </w:p>
        </w:tc>
        <w:tc>
          <w:tcPr>
            <w:tcW w:w="2020" w:type="dxa"/>
            <w:vAlign w:val="bottom"/>
            <w:vMerge w:val="restart"/>
          </w:tcPr>
          <w:p>
            <w:pPr>
              <w:spacing w:after="0"/>
              <w:rPr>
                <w:sz w:val="19"/>
                <w:szCs w:val="19"/>
                <w:color w:val="auto"/>
              </w:rPr>
            </w:pPr>
          </w:p>
        </w:tc>
        <w:tc>
          <w:tcPr>
            <w:tcW w:w="114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1140" w:type="dxa"/>
            <w:vAlign w:val="bottom"/>
            <w:gridSpan w:val="2"/>
            <w:shd w:val="clear" w:color="auto" w:fill="FEFEFE"/>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highlight w:val="white"/>
                <w:w w:val="99"/>
              </w:rPr>
              <w:t>(201) 267-8000</w:t>
            </w: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0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212529"/>
              </w:rPr>
              <w:t>NOT APPLICABLE</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3560" w:right="2520" w:hanging="3323"/>
        <w:spacing w:after="0" w:line="514" w:lineRule="auto"/>
        <w:tabs>
          <w:tab w:leader="none" w:pos="6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2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w:t>
            </w:r>
          </w:p>
        </w:tc>
        <w:tc>
          <w:tcPr>
            <w:tcW w:w="220" w:type="dxa"/>
            <w:vAlign w:val="bottom"/>
          </w:tcPr>
          <w:p>
            <w:pPr>
              <w:spacing w:after="0"/>
              <w:rPr>
                <w:sz w:val="17"/>
                <w:szCs w:val="17"/>
                <w:color w:val="auto"/>
              </w:rPr>
            </w:pPr>
          </w:p>
        </w:tc>
        <w:tc>
          <w:tcPr>
            <w:tcW w:w="3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MOV</w:t>
            </w:r>
          </w:p>
        </w:tc>
        <w:tc>
          <w:tcPr>
            <w:tcW w:w="220" w:type="dxa"/>
            <w:vAlign w:val="bottom"/>
          </w:tcPr>
          <w:p>
            <w:pPr>
              <w:spacing w:after="0"/>
              <w:rPr>
                <w:sz w:val="17"/>
                <w:szCs w:val="17"/>
                <w:color w:val="auto"/>
              </w:rPr>
            </w:pPr>
          </w:p>
        </w:tc>
        <w:tc>
          <w:tcPr>
            <w:tcW w:w="4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Meeting. </w:t>
      </w:r>
      <w:r>
        <w:rPr>
          <w:rFonts w:ascii="Times New Roman" w:cs="Times New Roman" w:eastAsia="Times New Roman" w:hAnsi="Times New Roman"/>
          <w:sz w:val="18"/>
          <w:szCs w:val="18"/>
          <w:color w:val="auto"/>
        </w:rPr>
        <w:t>The 2026 Annual Meeting of Shareholders of the Company was held on June 17, 2026.</w:t>
      </w:r>
    </w:p>
    <w:p>
      <w:pPr>
        <w:spacing w:after="0" w:line="22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Matters Voted Upon; Voting Results. </w:t>
      </w:r>
      <w:r>
        <w:rPr>
          <w:rFonts w:ascii="Times New Roman" w:cs="Times New Roman" w:eastAsia="Times New Roman" w:hAnsi="Times New Roman"/>
          <w:sz w:val="18"/>
          <w:szCs w:val="18"/>
          <w:color w:val="auto"/>
        </w:rPr>
        <w:t>The following matters were submitted for a vote of the Company’s shareholders.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Matter One</w:t>
      </w:r>
      <w:r>
        <w:rPr>
          <w:rFonts w:ascii="Times New Roman" w:cs="Times New Roman" w:eastAsia="Times New Roman" w:hAnsi="Times New Roman"/>
          <w:sz w:val="18"/>
          <w:szCs w:val="18"/>
          <w:color w:val="auto"/>
        </w:rPr>
        <w:t>. Election of Directors. Each of the eight nominees listed below was elected a director of the Company to hold office until the next annual meeting of the shareholders and until his or her successor has been elected and qualified.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 of</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Number of Broker</w:t>
            </w: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Votes For</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Votes Withheld</w:t>
            </w: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Non-Votes</w:t>
            </w:r>
          </w:p>
        </w:tc>
      </w:tr>
      <w:tr>
        <w:trPr>
          <w:trHeight w:val="209"/>
        </w:trPr>
        <w:tc>
          <w:tcPr>
            <w:tcW w:w="5860" w:type="dxa"/>
            <w:vAlign w:val="bottom"/>
            <w:tcBorders>
              <w:top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Peter A. Bridgman</w:t>
            </w:r>
          </w:p>
        </w:tc>
        <w:tc>
          <w:tcPr>
            <w:tcW w:w="220" w:type="dxa"/>
            <w:vAlign w:val="bottom"/>
            <w:tcBorders>
              <w:top w:val="single" w:sz="8" w:color="C6F4F9"/>
            </w:tcBorders>
            <w:shd w:val="clear" w:color="auto" w:fill="C6F4F9"/>
          </w:tcPr>
          <w:p>
            <w:pPr>
              <w:spacing w:after="0"/>
              <w:rPr>
                <w:sz w:val="18"/>
                <w:szCs w:val="18"/>
                <w:color w:val="auto"/>
              </w:rPr>
            </w:pPr>
          </w:p>
        </w:tc>
        <w:tc>
          <w:tcPr>
            <w:tcW w:w="1600" w:type="dxa"/>
            <w:vAlign w:val="bottom"/>
            <w:tcBorders>
              <w:top w:val="single" w:sz="8" w:color="auto"/>
            </w:tcBorders>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70,345,497</w:t>
            </w:r>
          </w:p>
        </w:tc>
        <w:tc>
          <w:tcPr>
            <w:tcW w:w="220" w:type="dxa"/>
            <w:vAlign w:val="bottom"/>
            <w:tcBorders>
              <w:top w:val="single" w:sz="8" w:color="C6F4F9"/>
            </w:tcBorders>
            <w:shd w:val="clear" w:color="auto" w:fill="C6F4F9"/>
          </w:tcPr>
          <w:p>
            <w:pPr>
              <w:spacing w:after="0"/>
              <w:rPr>
                <w:sz w:val="18"/>
                <w:szCs w:val="18"/>
                <w:color w:val="auto"/>
              </w:rPr>
            </w:pPr>
          </w:p>
        </w:tc>
        <w:tc>
          <w:tcPr>
            <w:tcW w:w="1580" w:type="dxa"/>
            <w:vAlign w:val="bottom"/>
            <w:tcBorders>
              <w:top w:val="single" w:sz="8" w:color="auto"/>
            </w:tcBorders>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3,401,724</w:t>
            </w:r>
          </w:p>
        </w:tc>
        <w:tc>
          <w:tcPr>
            <w:tcW w:w="200" w:type="dxa"/>
            <w:vAlign w:val="bottom"/>
            <w:tcBorders>
              <w:top w:val="single" w:sz="8" w:color="C6F4F9"/>
            </w:tcBorders>
            <w:shd w:val="clear" w:color="auto" w:fill="C6F4F9"/>
          </w:tcPr>
          <w:p>
            <w:pPr>
              <w:spacing w:after="0"/>
              <w:rPr>
                <w:sz w:val="18"/>
                <w:szCs w:val="18"/>
                <w:color w:val="auto"/>
              </w:rPr>
            </w:pPr>
          </w:p>
        </w:tc>
        <w:tc>
          <w:tcPr>
            <w:tcW w:w="1560" w:type="dxa"/>
            <w:vAlign w:val="bottom"/>
            <w:tcBorders>
              <w:top w:val="single" w:sz="8" w:color="auto"/>
            </w:tcBorders>
            <w:shd w:val="clear" w:color="auto" w:fill="C6F4F9"/>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Grinberg</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73,566,830</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180,391</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16"/>
        </w:trPr>
        <w:tc>
          <w:tcPr>
            <w:tcW w:w="6080" w:type="dxa"/>
            <w:vAlign w:val="bottom"/>
            <w:gridSpan w:val="2"/>
            <w:shd w:val="clear" w:color="auto" w:fill="C6F4F9"/>
          </w:tcPr>
          <w:p>
            <w:pPr>
              <w:spacing w:after="0"/>
              <w:rPr>
                <w:sz w:val="20"/>
                <w:szCs w:val="20"/>
                <w:color w:val="auto"/>
              </w:rPr>
            </w:pPr>
            <w:r>
              <w:rPr>
                <w:rFonts w:ascii="Times New Roman" w:cs="Times New Roman" w:eastAsia="Times New Roman" w:hAnsi="Times New Roman"/>
                <w:sz w:val="18"/>
                <w:szCs w:val="18"/>
                <w:color w:val="auto"/>
              </w:rPr>
              <w:t>Efraim Grinberg</w:t>
            </w:r>
          </w:p>
        </w:tc>
        <w:tc>
          <w:tcPr>
            <w:tcW w:w="160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69,203,632</w:t>
            </w:r>
          </w:p>
        </w:tc>
        <w:tc>
          <w:tcPr>
            <w:tcW w:w="220" w:type="dxa"/>
            <w:vAlign w:val="bottom"/>
            <w:shd w:val="clear" w:color="auto" w:fill="C6F4F9"/>
          </w:tcPr>
          <w:p>
            <w:pPr>
              <w:spacing w:after="0"/>
              <w:rPr>
                <w:sz w:val="18"/>
                <w:szCs w:val="18"/>
                <w:color w:val="auto"/>
              </w:rPr>
            </w:pPr>
          </w:p>
        </w:tc>
        <w:tc>
          <w:tcPr>
            <w:tcW w:w="158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4,543,589</w:t>
            </w:r>
          </w:p>
        </w:tc>
        <w:tc>
          <w:tcPr>
            <w:tcW w:w="200" w:type="dxa"/>
            <w:vAlign w:val="bottom"/>
            <w:shd w:val="clear" w:color="auto" w:fill="C6F4F9"/>
          </w:tcPr>
          <w:p>
            <w:pPr>
              <w:spacing w:after="0"/>
              <w:rPr>
                <w:sz w:val="18"/>
                <w:szCs w:val="18"/>
                <w:color w:val="auto"/>
              </w:rPr>
            </w:pPr>
          </w:p>
        </w:tc>
        <w:tc>
          <w:tcPr>
            <w:tcW w:w="1560" w:type="dxa"/>
            <w:vAlign w:val="bottom"/>
            <w:shd w:val="clear" w:color="auto" w:fill="C6F4F9"/>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H. Howard</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72,365,284</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1,381,937</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16"/>
        </w:trPr>
        <w:tc>
          <w:tcPr>
            <w:tcW w:w="6080" w:type="dxa"/>
            <w:vAlign w:val="bottom"/>
            <w:gridSpan w:val="2"/>
            <w:shd w:val="clear" w:color="auto" w:fill="C6F4F9"/>
          </w:tcPr>
          <w:p>
            <w:pPr>
              <w:spacing w:after="0"/>
              <w:rPr>
                <w:sz w:val="20"/>
                <w:szCs w:val="20"/>
                <w:color w:val="auto"/>
              </w:rPr>
            </w:pPr>
            <w:r>
              <w:rPr>
                <w:rFonts w:ascii="Times New Roman" w:cs="Times New Roman" w:eastAsia="Times New Roman" w:hAnsi="Times New Roman"/>
                <w:sz w:val="18"/>
                <w:szCs w:val="18"/>
                <w:color w:val="auto"/>
              </w:rPr>
              <w:t>Richard Isserman</w:t>
            </w:r>
          </w:p>
        </w:tc>
        <w:tc>
          <w:tcPr>
            <w:tcW w:w="160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72,601,261</w:t>
            </w:r>
          </w:p>
        </w:tc>
        <w:tc>
          <w:tcPr>
            <w:tcW w:w="220" w:type="dxa"/>
            <w:vAlign w:val="bottom"/>
            <w:shd w:val="clear" w:color="auto" w:fill="C6F4F9"/>
          </w:tcPr>
          <w:p>
            <w:pPr>
              <w:spacing w:after="0"/>
              <w:rPr>
                <w:sz w:val="18"/>
                <w:szCs w:val="18"/>
                <w:color w:val="auto"/>
              </w:rPr>
            </w:pPr>
          </w:p>
        </w:tc>
        <w:tc>
          <w:tcPr>
            <w:tcW w:w="158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1,145,960</w:t>
            </w:r>
          </w:p>
        </w:tc>
        <w:tc>
          <w:tcPr>
            <w:tcW w:w="200" w:type="dxa"/>
            <w:vAlign w:val="bottom"/>
            <w:shd w:val="clear" w:color="auto" w:fill="C6F4F9"/>
          </w:tcPr>
          <w:p>
            <w:pPr>
              <w:spacing w:after="0"/>
              <w:rPr>
                <w:sz w:val="18"/>
                <w:szCs w:val="18"/>
                <w:color w:val="auto"/>
              </w:rPr>
            </w:pPr>
          </w:p>
        </w:tc>
        <w:tc>
          <w:tcPr>
            <w:tcW w:w="1560" w:type="dxa"/>
            <w:vAlign w:val="bottom"/>
            <w:shd w:val="clear" w:color="auto" w:fill="C6F4F9"/>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Kirschner</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67,862,733</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5,884,488</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16"/>
        </w:trPr>
        <w:tc>
          <w:tcPr>
            <w:tcW w:w="6080" w:type="dxa"/>
            <w:vAlign w:val="bottom"/>
            <w:gridSpan w:val="2"/>
            <w:shd w:val="clear" w:color="auto" w:fill="C6F4F9"/>
          </w:tcPr>
          <w:p>
            <w:pPr>
              <w:spacing w:after="0"/>
              <w:rPr>
                <w:sz w:val="20"/>
                <w:szCs w:val="20"/>
                <w:color w:val="auto"/>
              </w:rPr>
            </w:pPr>
            <w:r>
              <w:rPr>
                <w:rFonts w:ascii="Times New Roman" w:cs="Times New Roman" w:eastAsia="Times New Roman" w:hAnsi="Times New Roman"/>
                <w:sz w:val="18"/>
                <w:szCs w:val="18"/>
                <w:color w:val="auto"/>
              </w:rPr>
              <w:t>Maya Peterson</w:t>
            </w:r>
          </w:p>
        </w:tc>
        <w:tc>
          <w:tcPr>
            <w:tcW w:w="160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70,351,432</w:t>
            </w:r>
          </w:p>
        </w:tc>
        <w:tc>
          <w:tcPr>
            <w:tcW w:w="220" w:type="dxa"/>
            <w:vAlign w:val="bottom"/>
            <w:shd w:val="clear" w:color="auto" w:fill="C6F4F9"/>
          </w:tcPr>
          <w:p>
            <w:pPr>
              <w:spacing w:after="0"/>
              <w:rPr>
                <w:sz w:val="18"/>
                <w:szCs w:val="18"/>
                <w:color w:val="auto"/>
              </w:rPr>
            </w:pPr>
          </w:p>
        </w:tc>
        <w:tc>
          <w:tcPr>
            <w:tcW w:w="1580" w:type="dxa"/>
            <w:vAlign w:val="bottom"/>
            <w:shd w:val="clear" w:color="auto" w:fill="C6F4F9"/>
          </w:tcPr>
          <w:p>
            <w:pPr>
              <w:jc w:val="right"/>
              <w:ind w:right="30"/>
              <w:spacing w:after="0"/>
              <w:rPr>
                <w:sz w:val="20"/>
                <w:szCs w:val="20"/>
                <w:color w:val="auto"/>
              </w:rPr>
            </w:pPr>
            <w:r>
              <w:rPr>
                <w:rFonts w:ascii="Times New Roman" w:cs="Times New Roman" w:eastAsia="Times New Roman" w:hAnsi="Times New Roman"/>
                <w:sz w:val="18"/>
                <w:szCs w:val="18"/>
                <w:color w:val="auto"/>
              </w:rPr>
              <w:t>3,395,789</w:t>
            </w:r>
          </w:p>
        </w:tc>
        <w:tc>
          <w:tcPr>
            <w:tcW w:w="200" w:type="dxa"/>
            <w:vAlign w:val="bottom"/>
            <w:shd w:val="clear" w:color="auto" w:fill="C6F4F9"/>
          </w:tcPr>
          <w:p>
            <w:pPr>
              <w:spacing w:after="0"/>
              <w:rPr>
                <w:sz w:val="18"/>
                <w:szCs w:val="18"/>
                <w:color w:val="auto"/>
              </w:rPr>
            </w:pPr>
          </w:p>
        </w:tc>
        <w:tc>
          <w:tcPr>
            <w:tcW w:w="1560" w:type="dxa"/>
            <w:vAlign w:val="bottom"/>
            <w:shd w:val="clear" w:color="auto" w:fill="C6F4F9"/>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Sadove</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70,348,827</w:t>
            </w: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3,398,394</w:t>
            </w:r>
          </w:p>
        </w:tc>
        <w:tc>
          <w:tcPr>
            <w:tcW w:w="2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1,760,877</w:t>
            </w:r>
          </w:p>
        </w:tc>
      </w:tr>
    </w:tbl>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Matter Two</w:t>
      </w:r>
      <w:r>
        <w:rPr>
          <w:rFonts w:ascii="Times New Roman" w:cs="Times New Roman" w:eastAsia="Times New Roman" w:hAnsi="Times New Roman"/>
          <w:sz w:val="18"/>
          <w:szCs w:val="18"/>
          <w:color w:val="auto"/>
        </w:rPr>
        <w:t>. Ratification of the appointment of PricewaterhouseCoopers LLP as the Company’s Independent Registered Public Accounting Firm for Fiscal Year 2027.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of</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Votes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 For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Abstaining</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0"/>
        </w:trPr>
        <w:tc>
          <w:tcPr>
            <w:tcW w:w="270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75,249,766</w:t>
            </w:r>
          </w:p>
        </w:tc>
        <w:tc>
          <w:tcPr>
            <w:tcW w:w="120" w:type="dxa"/>
            <w:vAlign w:val="bottom"/>
            <w:tcBorders>
              <w:top w:val="single" w:sz="8" w:color="C6F4F9"/>
            </w:tcBorders>
            <w:shd w:val="clear" w:color="auto" w:fill="C6F4F9"/>
          </w:tcPr>
          <w:p>
            <w:pPr>
              <w:spacing w:after="0"/>
              <w:rPr>
                <w:sz w:val="18"/>
                <w:szCs w:val="18"/>
                <w:color w:val="auto"/>
              </w:rPr>
            </w:pPr>
          </w:p>
        </w:tc>
        <w:tc>
          <w:tcPr>
            <w:tcW w:w="284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rPr>
              <w:t>257,663</w:t>
            </w:r>
          </w:p>
        </w:tc>
        <w:tc>
          <w:tcPr>
            <w:tcW w:w="100" w:type="dxa"/>
            <w:vAlign w:val="bottom"/>
            <w:tcBorders>
              <w:top w:val="single" w:sz="8" w:color="C6F4F9"/>
            </w:tcBorders>
            <w:shd w:val="clear" w:color="auto" w:fill="C6F4F9"/>
          </w:tcPr>
          <w:p>
            <w:pPr>
              <w:spacing w:after="0"/>
              <w:rPr>
                <w:sz w:val="18"/>
                <w:szCs w:val="18"/>
                <w:color w:val="auto"/>
              </w:rPr>
            </w:pPr>
          </w:p>
        </w:tc>
        <w:tc>
          <w:tcPr>
            <w:tcW w:w="268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Borders>
              <w:top w:val="single" w:sz="8" w:color="C6F4F9"/>
            </w:tcBorders>
            <w:shd w:val="clear" w:color="auto" w:fill="C6F4F9"/>
          </w:tcPr>
          <w:p>
            <w:pPr>
              <w:spacing w:after="0"/>
              <w:rPr>
                <w:sz w:val="18"/>
                <w:szCs w:val="18"/>
                <w:color w:val="auto"/>
              </w:rPr>
            </w:pPr>
          </w:p>
        </w:tc>
        <w:tc>
          <w:tcPr>
            <w:tcW w:w="268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Matter Three</w:t>
      </w:r>
      <w:r>
        <w:rPr>
          <w:rFonts w:ascii="Times New Roman" w:cs="Times New Roman" w:eastAsia="Times New Roman" w:hAnsi="Times New Roman"/>
          <w:sz w:val="18"/>
          <w:szCs w:val="18"/>
          <w:color w:val="auto"/>
        </w:rPr>
        <w:t>. Adoption, on an advisory basis, of a resolution approving the compensation of the Company’s named executive officers as described in the Proxy Statement for the Company’s 2026 Annual Meeting of Shareholders under the heading “Executive Compensation.”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of</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Votes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 For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Abstaining</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0"/>
        </w:trPr>
        <w:tc>
          <w:tcPr>
            <w:tcW w:w="270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73,196,126</w:t>
            </w:r>
          </w:p>
        </w:tc>
        <w:tc>
          <w:tcPr>
            <w:tcW w:w="120" w:type="dxa"/>
            <w:vAlign w:val="bottom"/>
            <w:tcBorders>
              <w:top w:val="single" w:sz="8" w:color="C6F4F9"/>
            </w:tcBorders>
            <w:shd w:val="clear" w:color="auto" w:fill="C6F4F9"/>
          </w:tcPr>
          <w:p>
            <w:pPr>
              <w:spacing w:after="0"/>
              <w:rPr>
                <w:sz w:val="18"/>
                <w:szCs w:val="18"/>
                <w:color w:val="auto"/>
              </w:rPr>
            </w:pPr>
          </w:p>
        </w:tc>
        <w:tc>
          <w:tcPr>
            <w:tcW w:w="284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rPr>
              <w:t>530,635</w:t>
            </w:r>
          </w:p>
        </w:tc>
        <w:tc>
          <w:tcPr>
            <w:tcW w:w="100" w:type="dxa"/>
            <w:vAlign w:val="bottom"/>
            <w:tcBorders>
              <w:top w:val="single" w:sz="8" w:color="C6F4F9"/>
            </w:tcBorders>
            <w:shd w:val="clear" w:color="auto" w:fill="C6F4F9"/>
          </w:tcPr>
          <w:p>
            <w:pPr>
              <w:spacing w:after="0"/>
              <w:rPr>
                <w:sz w:val="18"/>
                <w:szCs w:val="18"/>
                <w:color w:val="auto"/>
              </w:rPr>
            </w:pPr>
          </w:p>
        </w:tc>
        <w:tc>
          <w:tcPr>
            <w:tcW w:w="268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6"/>
              </w:rPr>
              <w:t>20,460</w:t>
            </w:r>
          </w:p>
        </w:tc>
        <w:tc>
          <w:tcPr>
            <w:tcW w:w="120" w:type="dxa"/>
            <w:vAlign w:val="bottom"/>
            <w:tcBorders>
              <w:top w:val="single" w:sz="8" w:color="C6F4F9"/>
            </w:tcBorders>
            <w:shd w:val="clear" w:color="auto" w:fill="C6F4F9"/>
          </w:tcPr>
          <w:p>
            <w:pPr>
              <w:spacing w:after="0"/>
              <w:rPr>
                <w:sz w:val="18"/>
                <w:szCs w:val="18"/>
                <w:color w:val="auto"/>
              </w:rPr>
            </w:pPr>
          </w:p>
        </w:tc>
        <w:tc>
          <w:tcPr>
            <w:tcW w:w="268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1,760,877</w:t>
            </w:r>
          </w:p>
        </w:tc>
      </w:tr>
      <w:tr>
        <w:trPr>
          <w:trHeight w:val="763"/>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28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Mitchell C. Sussis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Mitchell C. Sussis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2494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79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2026-06-22T05:15:33Z</dcterms:created>
  <dcterms:modified xsi:type="dcterms:W3CDTF">2026-06-22T05:15:33Z</dcterms:modified>
</cp:coreProperties>
</file>