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ov-20260731.htm"/>
      <w:bookmarkStart w:id="1" w:name="ksmov20260731"/>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July 31, 2026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1-16497</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8"/>
        </w:rPr>
        <w:t>MOVADO GROUP,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13-2595932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650 From Road, Ste. 375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Paramus, New Jersey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07652-3556</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(201) 267-8000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MOV</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that past 90 days.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8286" w:type="dxa"/>
        <w:jc w:val="left"/>
        <w:tblInd w:w="0" w:type="dxa"/>
        <w:tblLayout w:type="fixed"/>
        <w:tblCellMar>
          <w:top w:w="28" w:type="dxa"/>
          <w:left w:w="28" w:type="dxa"/>
          <w:bottom w:w="28" w:type="dxa"/>
          <w:right w:w="28" w:type="dxa"/>
        </w:tblCellMar>
      </w:tblPr>
      <w:tblGrid>
        <w:gridCol w:w="2611"/>
        <w:gridCol w:w="556"/>
        <w:gridCol w:w="2356"/>
        <w:gridCol w:w="316"/>
        <w:gridCol w:w="1846"/>
        <w:gridCol w:w="601"/>
      </w:tblGrid>
      <w:tr>
        <w:trPr/>
        <w:tc>
          <w:tcPr>
            <w:tcW w:w="26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xml:space="preserve">Large accelerated filer </w:t>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Non-accelerated filer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r>
      <w:tr>
        <w:trPr/>
        <w:tc>
          <w:tcPr>
            <w:tcW w:w="26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xml:space="preserve">Smaller reporting company </w:t>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Emerging growth company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number of shares outstanding of the registrant’s Common Stock and Class A Common Stock as of August 21, 2026 were 15,956,643 and 6,355,602, respectively. </w:t>
      </w:r>
    </w:p>
    <w:p>
      <w:pPr>
        <w:pStyle w:val="TextBody"/>
        <w:pBdr>
          <w:bottom w:val="double" w:sz="4" w:space="1" w:color="000000"/>
        </w:pBdr>
        <w:bidi w:val="0"/>
        <w:jc w:val="both"/>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MOVADO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Quarterly Report on Form 10-Q</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July 31, 2026</w:t>
      </w:r>
    </w:p>
    <w:tbl>
      <w:tblPr>
        <w:tblW w:w="10205" w:type="dxa"/>
        <w:jc w:val="left"/>
        <w:tblInd w:w="0" w:type="dxa"/>
        <w:tblLayout w:type="fixed"/>
        <w:tblCellMar>
          <w:top w:w="28" w:type="dxa"/>
          <w:left w:w="28" w:type="dxa"/>
          <w:bottom w:w="28" w:type="dxa"/>
          <w:right w:w="28" w:type="dxa"/>
        </w:tblCellMar>
      </w:tblPr>
      <w:tblGrid>
        <w:gridCol w:w="557"/>
        <w:gridCol w:w="146"/>
        <w:gridCol w:w="709"/>
        <w:gridCol w:w="146"/>
        <w:gridCol w:w="8018"/>
        <w:gridCol w:w="146"/>
        <w:gridCol w:w="483"/>
      </w:tblGrid>
      <w:tr>
        <w:trPr/>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5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Financial Information (Unaudited)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at July 31, 2026, January 31, 2026 and July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three and six months ended July 31, 2026 and July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consolidated_statements_of_comprehensive">
              <w:r>
                <w:rPr>
                  <w:rStyle w:val="InternetLink"/>
                  <w:rFonts w:ascii="Times New Roman" w:hAnsi="Times New Roman"/>
                  <w:color w:val="0000FF"/>
                  <w:sz w:val="20"/>
                  <w:u w:val="single"/>
                </w:rPr>
                <w:t>Consolidated Statements of Comprehensive Income (Loss) for the three and six months ended July 31, 2026 and July 31, 2025</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six months ended July 31, 2026 and July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55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3"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5">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5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576" w:type="dxa"/>
            <w:gridSpan w:val="5"/>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MOVADO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 w:name="consolidated_balance_sheets"/>
      <w:bookmarkEnd w:id="2"/>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14"/>
        <w:gridCol w:w="211"/>
        <w:gridCol w:w="841"/>
        <w:gridCol w:w="166"/>
        <w:gridCol w:w="146"/>
        <w:gridCol w:w="211"/>
        <w:gridCol w:w="841"/>
        <w:gridCol w:w="166"/>
        <w:gridCol w:w="146"/>
        <w:gridCol w:w="211"/>
        <w:gridCol w:w="841"/>
        <w:gridCol w:w="611"/>
      </w:tblGrid>
      <w:tr>
        <w:trPr/>
        <w:tc>
          <w:tcPr>
            <w:tcW w:w="5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u w:val="single"/>
              </w:rPr>
            </w:pPr>
            <w:r>
              <w:rPr>
                <w:rFonts w:ascii="Times New Roman" w:hAnsi="Times New Roman"/>
                <w:b/>
                <w:color w:val="000000"/>
                <w:sz w:val="19"/>
                <w:u w:val="single"/>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180,493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Trade receivables,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211,504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Income taxes receivable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527,175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516,191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plant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77,130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and non-current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intangibles,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88,143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748,719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u w:val="single"/>
              </w:rPr>
            </w:pPr>
            <w:r>
              <w:rPr>
                <w:rFonts w:ascii="Times New Roman" w:hAnsi="Times New Roman"/>
                <w:b/>
                <w:color w:val="000000"/>
                <w:sz w:val="19"/>
                <w:u w:val="single"/>
              </w:rPr>
              <w:t>LIABILITIES AND EQUITY</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35,347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63,766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payroll and benefits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Current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Income taxes payable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131,424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and non-current income taxes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Non-current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67,908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56,219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256,484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Commitments and contingencies</w:t>
            </w:r>
            <w:r>
              <w:rPr>
                <w:rFonts w:ascii="Times New Roman" w:hAnsi="Times New Roman"/>
                <w:color w:val="000000"/>
                <w:sz w:val="20"/>
              </w:rPr>
              <w:t> </w:t>
            </w:r>
            <w:r>
              <w:rPr>
                <w:rFonts w:ascii="Times New Roman" w:hAnsi="Times New Roman"/>
                <w:color w:val="000000"/>
                <w:sz w:val="19"/>
              </w:rPr>
              <w:t>(Note 9)</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Equity:</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5,000,000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$0.01</w:t>
            </w:r>
            <w:r>
              <w:rPr>
                <w:rFonts w:ascii="Times New Roman" w:hAnsi="Times New Roman"/>
                <w:color w:val="000000"/>
                <w:sz w:val="20"/>
              </w:rPr>
              <w:t> </w:t>
            </w:r>
            <w:r>
              <w:rPr>
                <w:rFonts w:ascii="Times New Roman" w:hAnsi="Times New Roman"/>
                <w:color w:val="000000"/>
                <w:sz w:val="19"/>
              </w:rPr>
              <w:t>par value, 100,000,000</w:t>
            </w:r>
            <w:r>
              <w:rPr>
                <w:rFonts w:ascii="Times New Roman" w:hAnsi="Times New Roman"/>
                <w:color w:val="000000"/>
                <w:sz w:val="20"/>
              </w:rPr>
              <w:t> </w:t>
            </w:r>
            <w:r>
              <w:rPr>
                <w:rFonts w:ascii="Times New Roman" w:hAnsi="Times New Roman"/>
                <w:color w:val="000000"/>
                <w:sz w:val="19"/>
              </w:rPr>
              <w:t>shares authorized;</w:t>
              <w:br/>
              <w:t>29,824,767, 29,347,358</w:t>
            </w:r>
            <w:r>
              <w:rPr>
                <w:rFonts w:ascii="Times New Roman" w:hAnsi="Times New Roman"/>
                <w:color w:val="000000"/>
                <w:sz w:val="20"/>
              </w:rPr>
              <w:t> </w:t>
            </w:r>
            <w:r>
              <w:rPr>
                <w:rFonts w:ascii="Times New Roman" w:hAnsi="Times New Roman"/>
                <w:color w:val="000000"/>
                <w:sz w:val="19"/>
              </w:rPr>
              <w:t>and 29,299,027</w:t>
            </w:r>
            <w:r>
              <w:rPr>
                <w:rFonts w:ascii="Times New Roman" w:hAnsi="Times New Roman"/>
                <w:color w:val="000000"/>
                <w:sz w:val="20"/>
              </w:rPr>
              <w:t> </w:t>
            </w:r>
            <w:r>
              <w:rPr>
                <w:rFonts w:ascii="Times New Roman" w:hAnsi="Times New Roman"/>
                <w:color w:val="000000"/>
                <w:sz w:val="19"/>
              </w:rPr>
              <w:t>shares issued,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A Common Stock, $0.01</w:t>
            </w:r>
            <w:r>
              <w:rPr>
                <w:rFonts w:ascii="Times New Roman" w:hAnsi="Times New Roman"/>
                <w:color w:val="000000"/>
                <w:sz w:val="20"/>
              </w:rPr>
              <w:t> </w:t>
            </w:r>
            <w:r>
              <w:rPr>
                <w:rFonts w:ascii="Times New Roman" w:hAnsi="Times New Roman"/>
                <w:color w:val="000000"/>
                <w:sz w:val="19"/>
              </w:rPr>
              <w:t>par value, 30,000,000</w:t>
            </w:r>
            <w:r>
              <w:rPr>
                <w:rFonts w:ascii="Times New Roman" w:hAnsi="Times New Roman"/>
                <w:color w:val="000000"/>
                <w:sz w:val="20"/>
              </w:rPr>
              <w:t> </w:t>
            </w:r>
            <w:r>
              <w:rPr>
                <w:rFonts w:ascii="Times New Roman" w:hAnsi="Times New Roman"/>
                <w:color w:val="000000"/>
                <w:sz w:val="19"/>
              </w:rPr>
              <w:t>shares authorized; 6,355,602, 6,455,602</w:t>
            </w:r>
            <w:r>
              <w:rPr>
                <w:rFonts w:ascii="Times New Roman" w:hAnsi="Times New Roman"/>
                <w:color w:val="000000"/>
                <w:sz w:val="20"/>
              </w:rPr>
              <w:t> </w:t>
            </w:r>
            <w:r>
              <w:rPr>
                <w:rFonts w:ascii="Times New Roman" w:hAnsi="Times New Roman"/>
                <w:color w:val="000000"/>
                <w:sz w:val="19"/>
              </w:rPr>
              <w:t>and 6,455,602</w:t>
            </w:r>
            <w:r>
              <w:rPr>
                <w:rFonts w:ascii="Times New Roman" w:hAnsi="Times New Roman"/>
                <w:color w:val="000000"/>
                <w:sz w:val="20"/>
              </w:rPr>
              <w:t> </w:t>
            </w:r>
            <w:r>
              <w:rPr>
                <w:rFonts w:ascii="Times New Roman" w:hAnsi="Times New Roman"/>
                <w:color w:val="000000"/>
                <w:sz w:val="19"/>
              </w:rPr>
              <w:t>shares issued,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Capital in excess of par value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245,632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Retained earnings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444,791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435,553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99,499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Treasury Stock, 13,868,124, 13,725,962</w:t>
            </w:r>
            <w:r>
              <w:rPr>
                <w:rFonts w:ascii="Times New Roman" w:hAnsi="Times New Roman"/>
                <w:color w:val="000000"/>
                <w:sz w:val="20"/>
              </w:rPr>
              <w:t> </w:t>
            </w:r>
            <w:r>
              <w:rPr>
                <w:rFonts w:ascii="Times New Roman" w:hAnsi="Times New Roman"/>
                <w:color w:val="000000"/>
                <w:sz w:val="19"/>
              </w:rPr>
              <w:t>and 13,617,567</w:t>
            </w:r>
            <w:r>
              <w:rPr>
                <w:rFonts w:ascii="Times New Roman" w:hAnsi="Times New Roman"/>
                <w:color w:val="000000"/>
                <w:sz w:val="20"/>
              </w:rPr>
              <w:t> </w:t>
            </w:r>
            <w:r>
              <w:rPr>
                <w:rFonts w:ascii="Times New Roman" w:hAnsi="Times New Roman"/>
                <w:color w:val="000000"/>
                <w:sz w:val="19"/>
              </w:rPr>
              <w:t>shares,</w:t>
              <w:br/>
              <w:t> respectively, at cost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(291,128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Movado Group, Inc. shareholders'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505,616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489,913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507,217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492,235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748,719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MOVADO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consolidated_statements_of_operations"/>
      <w:bookmarkEnd w:id="3"/>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amounts)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4910"/>
        <w:gridCol w:w="211"/>
        <w:gridCol w:w="781"/>
        <w:gridCol w:w="166"/>
        <w:gridCol w:w="146"/>
        <w:gridCol w:w="211"/>
        <w:gridCol w:w="781"/>
        <w:gridCol w:w="166"/>
        <w:gridCol w:w="146"/>
        <w:gridCol w:w="211"/>
        <w:gridCol w:w="781"/>
        <w:gridCol w:w="166"/>
        <w:gridCol w:w="146"/>
        <w:gridCol w:w="211"/>
        <w:gridCol w:w="781"/>
        <w:gridCol w:w="391"/>
      </w:tblGrid>
      <w:tr>
        <w:trPr/>
        <w:tc>
          <w:tcPr>
            <w:tcW w:w="4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income/(expense):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 (Note 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Movado Group, Inc.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income per share: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basic average shares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attributable to Movado Group,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income per share: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diluted average shares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attributable to Movado Group,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sz w:val="20"/>
        </w:rPr>
      </w:pPr>
      <w:r>
        <w:rPr>
          <w:rFonts w:ascii="Times New Roman" w:hAnsi="Times New Roman"/>
          <w:b/>
          <w:color w:val="000000"/>
          <w:sz w:val="20"/>
        </w:rPr>
        <w:t>See Notes to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MOVADO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solidated_statements_of_comprehensive"/>
      <w:bookmarkEnd w:id="4"/>
      <w:r>
        <w:rPr>
          <w:rFonts w:ascii="Times New Roman" w:hAnsi="Times New Roman"/>
          <w:b/>
          <w:color w:val="000000"/>
          <w:sz w:val="20"/>
        </w:rPr>
        <w:t>CONSOLIDATED STATEMENTS OF COMPREHENSIVE INCOME (LOSS)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5376"/>
        <w:gridCol w:w="146"/>
        <w:gridCol w:w="220"/>
        <w:gridCol w:w="707"/>
        <w:gridCol w:w="173"/>
        <w:gridCol w:w="152"/>
        <w:gridCol w:w="220"/>
        <w:gridCol w:w="597"/>
        <w:gridCol w:w="166"/>
        <w:gridCol w:w="146"/>
        <w:gridCol w:w="211"/>
        <w:gridCol w:w="676"/>
        <w:gridCol w:w="166"/>
        <w:gridCol w:w="146"/>
        <w:gridCol w:w="211"/>
        <w:gridCol w:w="676"/>
        <w:gridCol w:w="216"/>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gain/(loss) on investments, net of tax provision/(benefit) of $14, $0, $15 and ($10),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service cost, net of tax provision of $6, $4, $12 and $7,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income/(loss) before reclassification, net of tax provision/(benefit) of $42, ($86), $48 and ($310,)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accumulated other comprehensive (loss)/income, net of tax (benefit)/provision of ($35), $138, ($35) and $151,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(loss)/income,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attributable to Movado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See Notes to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MOVADO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statements_of_cash_flows"/>
      <w:bookmarkEnd w:id="5"/>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tbl>
      <w:tblPr>
        <w:tblW w:w="9283" w:type="dxa"/>
        <w:jc w:val="left"/>
        <w:tblInd w:w="0" w:type="dxa"/>
        <w:tblLayout w:type="fixed"/>
        <w:tblCellMar>
          <w:top w:w="28" w:type="dxa"/>
          <w:left w:w="28" w:type="dxa"/>
          <w:bottom w:w="28" w:type="dxa"/>
          <w:right w:w="28" w:type="dxa"/>
        </w:tblCellMar>
      </w:tblPr>
      <w:tblGrid>
        <w:gridCol w:w="6376"/>
        <w:gridCol w:w="211"/>
        <w:gridCol w:w="781"/>
        <w:gridCol w:w="166"/>
        <w:gridCol w:w="146"/>
        <w:gridCol w:w="211"/>
        <w:gridCol w:w="781"/>
        <w:gridCol w:w="611"/>
      </w:tblGrid>
      <w:tr>
        <w:trPr/>
        <w:tc>
          <w:tcPr>
            <w:tcW w:w="6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Transactional (gains)/losses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inventories and 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Trade receivables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payroll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by/(used in)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Capital expenditures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Trademarks and other intangibles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repurchases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awards and options exercised and other changes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Debt issuance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year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non-current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20"/>
        </w:rPr>
      </w:pPr>
      <w:r>
        <w:rPr>
          <w:rFonts w:ascii="Times New Roman" w:hAnsi="Times New Roman"/>
          <w:b/>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MOVADO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notes_to_consolidated_financial_statemen"/>
      <w:bookmarkEnd w:id="6"/>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 –</w:t>
      </w:r>
      <w:r>
        <w:rPr>
          <w:rFonts w:ascii="Times New Roman" w:hAnsi="Times New Roman"/>
          <w:color w:val="000000"/>
          <w:sz w:val="20"/>
        </w:rPr>
        <w:t xml:space="preserve"> </w:t>
      </w: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interim unaudited Consolidated Financial Statements have been prepared by Movado Group, Inc. (the “Company”), in a manner consistent with that used in the preparation of the annual audited Consolidated Financial Statements included in the Company’s Annual Report on Form 10-K for the fiscal year ended January 31, 2026 (the “2026 Annual Report on Form 10-K”). The unaudited Consolidated Financial Statements have been prepared in accordance with accounting principles generally accepted in the United States of America, which require the Company to make estimates and assumptions that affect the reported amounts of assets and liabilities and the disclosure of contingent assets and liabilities at the dates of the unaudited Consolidated Financial Statements and the reported amounts of revenues and expenses during the periods reported. Actual results could differ from those estimates. In the opinion of management, the accompanying unaudited Consolidated Financial Statements reflect all adjustments, consisting of only normal and recurring adjustments, necessary for a fair statement of the financial position and results of operations for the periods presented. The Consolidated Balance Sheet data at January 31, 2026 is derived from the audited annual financial statements, which are included in the Company’s 2026 Annual Report on Form 10-K and should be read in connection with these interim unaudited financial statements. Operating results for the interim periods presented are not necessarily indicative of the results that may be expected for the full year. </w:t>
      </w:r>
    </w:p>
    <w:p>
      <w:pPr>
        <w:pStyle w:val="TextBody"/>
        <w:bidi w:val="0"/>
        <w:jc w:val="both"/>
        <w:rPr/>
      </w:pPr>
      <w:r>
        <w:rPr/>
        <w:t> </w:t>
      </w:r>
    </w:p>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2 –</w:t>
      </w:r>
      <w:r>
        <w:rPr>
          <w:rFonts w:ascii="Times New Roman" w:hAnsi="Times New Roman"/>
          <w:color w:val="000000"/>
          <w:sz w:val="20"/>
        </w:rPr>
        <w:t xml:space="preserve"> </w:t>
      </w: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as clarified by ASU 2025-01 “Disaggregation of Income Statement Expenses”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evaluating the timing and impact of adoption in its Consolidated Financial Statements and related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2025, the FASB issued ASU 2025-05 “Measurement of Credit Losses for Accounts Receivable and Contract Assets (Topic 326)”, which allows entities to elect a practical expedient to assume that current conditions as of the balance sheet date do not change for the remaining life of the asset in the development of a reasonable and supportable forecast as part of estimating expected credit losses. Entities electing the practical expedient are still required to adjust historical loss information to reflect current conditions to the extent that historical information does not reflect current conditions. An entity that elects to use the practical expedient is required to disclose that fact. The Company elected the practical expedient permitted under ASU 2025-05 in estimating credit losses for trade receivables. Adoption did not have a material impact on the Company's Consolidated Financial Statements and related disclosures.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which amends the guidance for capitalizing internal-use software development costs. The ASU is effective for annual periods beginning after December 15, 2027, with early adoption permitted. The Company is currently evaluating the impact of adoption on its Consolidated Financial Statements and related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2025, the FASB issued ASU 2025-09, “Derivatives and Hedging (Topic 815)” which provides targeted improvements to hedge accounting guidance. The ASU is effective for fiscal years beginning after December 15, 2026, including interim periods within those fiscal years. The Company is currently evaluating the impact of adoption on its Consolidated Financial Statements and related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which clarifies the application of interim reporting disclosure requirements and introduces a principle requiring disclosure of material events and changes since the most recent annual reporting period. The ASU is effective for interim periods within fiscal years beginning after December 15, 2027. The Company is currently evaluating the impact of adoption on its Consolidated Financial Statements and related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reviewed other recently issued accounting standards and determined that they are either not applicable or are not expected to have a material impact on its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 COST-SAVINGS INITIATIVE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fiscal year 2025, in light of the ongoing challenging consumer-spending environment, the Company committed to a cost-savings initiative to reduce operating expenses through headcount reductions, bringing them more in line with sales.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July 31, 2026, the Company did not record any accruals for severance and employee-related charges. During the three and six months ended July 31, 2025, the Company recorded $0.9 million and $1.5 million, respectively, in accruals for severance and employee-related charges which are included in Selling, general and administrative in the Consolidated Statements of Operations, and are included in both the United States and International locations in the Watch and Accessory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fiscal year 2025, the Company recorded $4.6 million in accruals for severance and employee-related charges and early lease termination charges which were included in Selling, general and administrative in the Consolidated Statements of Operations. The amounts recorded in fiscal year 2026 and 2025 are included in both the United States and International locations in the Watch and Accessory segment. Of the total amounts recorded in fiscal year 2026 and 2025, $4.8 million of severance and employee-related charges was paid through fiscal year 2026, and $0.5 million of early lease termination-related fees and costs was paid/utilized through fiscal year 2026. During the first six months of fiscal year 2027, $0.3 million of severance and employee-related charges was paid. The remaining amount of $0.5 million is included in Accrued payroll and benefits in the Consolidated Balance Sheet at July 31, 2026 and is expected to be paid during the remainder of fiscal year 2027.</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 EARNINGS PER SHARE AND CASH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presents net income attributable to Movado Group, Inc. after adjusting for noncontrolling interests, as applicable, per share on a basic and diluted basis. Basic earnings per share is computed using weighted-average shares outstanding during the period. Diluted earnings per share is computed using the weighted-average number of shares outstanding adjusted for dilutive common stock equivalents.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shares used in calculating basic and diluted earnings per share is as follows (in thousands):</w:t>
      </w:r>
    </w:p>
    <w:p>
      <w:pPr>
        <w:pStyle w:val="TextBody"/>
        <w:bidi w:val="0"/>
        <w:jc w:val="both"/>
        <w:rPr/>
      </w:pPr>
      <w:r>
        <w:rPr/>
        <w:t> </w:t>
      </w:r>
    </w:p>
    <w:tbl>
      <w:tblPr>
        <w:tblW w:w="9067" w:type="dxa"/>
        <w:jc w:val="left"/>
        <w:tblInd w:w="0" w:type="dxa"/>
        <w:tblLayout w:type="fixed"/>
        <w:tblCellMar>
          <w:top w:w="28" w:type="dxa"/>
          <w:left w:w="28" w:type="dxa"/>
          <w:bottom w:w="28" w:type="dxa"/>
          <w:right w:w="28" w:type="dxa"/>
        </w:tblCellMar>
      </w:tblPr>
      <w:tblGrid>
        <w:gridCol w:w="4116"/>
        <w:gridCol w:w="168"/>
        <w:gridCol w:w="780"/>
        <w:gridCol w:w="168"/>
        <w:gridCol w:w="168"/>
        <w:gridCol w:w="168"/>
        <w:gridCol w:w="780"/>
        <w:gridCol w:w="146"/>
        <w:gridCol w:w="146"/>
        <w:gridCol w:w="153"/>
        <w:gridCol w:w="712"/>
        <w:gridCol w:w="153"/>
        <w:gridCol w:w="153"/>
        <w:gridCol w:w="153"/>
        <w:gridCol w:w="712"/>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awards and options to purchase shares of</w:t>
              <w:br/>
              <w:t>common stock</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July 31, 2026 and 2025, approximately 0.2 million and 1.0 million, respectively, of potentially dilutive common stock equivalents were excluded from the computation of diluted earnings per share because their effect would have been antidilutive. For the six months ended July 31, 2026 and 2025, approximately 0.3 million and 1.3 million, respectively, of potentially dilutive common stock equivalents were excluded from the computation of diluted earnings per share because their effect would have been antidilutive.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July 31, 2026, the Company declared and paid two separate cash dividends at $0.35 per share and $0.40 per share aggregating to $16.6 million. During the six months ended July 31, 2025, the Company declared and paid two separate cash dividends each at $0.35 per share aggregating to $15.6 million. </w:t>
      </w:r>
    </w:p>
    <w:p>
      <w:pPr>
        <w:pStyle w:val="TextBody"/>
        <w:bidi w:val="0"/>
        <w:spacing w:before="40" w:after="283"/>
        <w:jc w:val="both"/>
        <w:rPr/>
      </w:pPr>
      <w:r>
        <w:rPr/>
        <w:t> </w:t>
      </w:r>
    </w:p>
    <w:p>
      <w:pPr>
        <w:pStyle w:val="TextBody"/>
        <w:bidi w:val="0"/>
        <w:spacing w:before="180" w:after="283"/>
        <w:jc w:val="both"/>
        <w:rPr>
          <w:rFonts w:ascii="Times New Roman" w:hAnsi="Times New Roman"/>
          <w:sz w:val="20"/>
        </w:rPr>
      </w:pPr>
      <w:r>
        <w:rPr>
          <w:rFonts w:ascii="Times New Roman" w:hAnsi="Times New Roman"/>
          <w:b/>
          <w:color w:val="000000"/>
          <w:sz w:val="20"/>
        </w:rPr>
        <w:t>NOTE 5 –</w:t>
      </w:r>
      <w:r>
        <w:rPr>
          <w:rFonts w:ascii="Times New Roman" w:hAnsi="Times New Roman"/>
          <w:color w:val="000000"/>
          <w:sz w:val="20"/>
        </w:rPr>
        <w:t xml:space="preserve"> </w:t>
      </w:r>
      <w:r>
        <w:rPr>
          <w:rFonts w:ascii="Times New Roman" w:hAnsi="Times New Roman"/>
          <w:b/>
          <w:color w:val="000000"/>
          <w:sz w:val="20"/>
        </w:rPr>
        <w:t>INVENTORIES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Inventories consisted of the following (in thousands): </w:t>
      </w:r>
    </w:p>
    <w:p>
      <w:pPr>
        <w:pStyle w:val="TextBody"/>
        <w:bidi w:val="0"/>
        <w:jc w:val="both"/>
        <w:rPr/>
      </w:pPr>
      <w:r>
        <w:rPr/>
        <w:t> </w:t>
      </w:r>
    </w:p>
    <w:tbl>
      <w:tblPr>
        <w:tblW w:w="5456" w:type="dxa"/>
        <w:jc w:val="left"/>
        <w:tblInd w:w="0" w:type="dxa"/>
        <w:tblLayout w:type="fixed"/>
        <w:tblCellMar>
          <w:top w:w="28" w:type="dxa"/>
          <w:left w:w="28" w:type="dxa"/>
          <w:bottom w:w="28" w:type="dxa"/>
          <w:right w:w="28" w:type="dxa"/>
        </w:tblCellMar>
      </w:tblPr>
      <w:tblGrid>
        <w:gridCol w:w="1516"/>
        <w:gridCol w:w="146"/>
        <w:gridCol w:w="211"/>
        <w:gridCol w:w="781"/>
        <w:gridCol w:w="146"/>
        <w:gridCol w:w="146"/>
        <w:gridCol w:w="220"/>
        <w:gridCol w:w="815"/>
        <w:gridCol w:w="146"/>
        <w:gridCol w:w="146"/>
        <w:gridCol w:w="211"/>
        <w:gridCol w:w="78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July 31,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31,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July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parts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DEBT AND LINES OF CREDIT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and its U.S. and Swiss subsidiaries (collectively, the “Borrowers”) are parties to an Amended and Restated Credit Agreement originally dated October 12, 2018 (as subsequently amended, the “Credit Agreement”) with the lenders party thereto and Bank of America, N.A. as administrative agent (in such capacity, the “Agent”). After giving effect to Amendment No. 7 thereto dated July 16, 2026, the Credit Agreement provides for a $75.0 million senior secured revolving credit facility (the “Facility”) and has a maturity date of July 16, 2031. The Facility includes a $15.0 million letter of credit subfacility, and a $25.0 million swingline subfacility, with provisions for uncommitted increases to the Facility of up to $50.0 million in the aggregate subject to customary terms and conditions. The Credit Agreement contains affirmative and negative covenants binding on the Company and its subsidiaries that are customary for credit facilities of this type, including, but not limited to, restrictions and limitations on the incurrence of debt and liens, dispositions of assets, capital expenditures, dividends and other payments in respect of equity interests, the making of loans and equity investments, mergers, consolidations, liquidations and dissolutions, and transactions with affiliates (in each case, subject to various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borrowings under the Facility are joint and several obligations of the Borrowers and are also cross-guaranteed by each Borrower, except that the Swiss Borrower is not liable for, nor does it guarantee, the obligations of the U.S. Borrowers. In addition, the Borrowers' obligations under the Facility are secured by first priority liens, subject to permitted liens, on substantially all of the U.S. Borrowers' assets other than certain excluded assets. The Swiss Borrower does not provide collateral to secure the obligations under the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both July 31, 2026, and July 31, 2025, there were no amounts of loans outstanding under the Facility. Availability under the Facility was reduced by the aggregate amount of letters of credit outstanding, issued in connection with retail and operating facility leases to various landlords and for Canadian payroll to the Royal Bank of Canada, totaling approximately $0.3 million at both July 31, 2026 and July 31, 2025. At July 31, 2026, the letters of credit have expiration dates through June 1, 2027. As of July 31, 2026, and July 31, 2025, availability under the Facility was $74.7 million and $99.7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had weighted average borrowings under the Facility of zero during both the three and six months ended July 31, 2026 and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Swiss subsidiary maintains unsecured lines of credit with a Swiss bank that are subject to repayment upon demand. As of July 31, 2026, and 2025, these lines of credit totaled 6.5 million Swiss Francs for both periods, with a dollar equivalent of $8.0 million for both periods. As of July 31, 2026, and 2025, there were no borrowings against these lines. As of July 31, 2026 and 2025, two European banks had guaranteed obligations to third parties on behalf of two of the Company’s foreign subsidiaries in the dollar equivalent of $1.5 million in various foreign currencies in both periods. Of these amounts $0.8 million in both periods represented restricted deposits related to lease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second quarter of fiscal 2027, the Company incurred and capitalized $0.4 million of fees related to the amendment. These fees, along with the unamortized fees of $0.1 million paid related to the base Credit Agreement, are being amortized on a straight-line basis over 60 months, the revised term of the Facility, and are included in other non-current assets on the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paid for interest, including unused commitment fees, was $0.1 million for both the six-month periods ended July 31, 2026 and July 31, 2025 and amortization of debt fees was $0.1 million for both the six-month periods ended July 31, 2026 and July 31, 2025.</w:t>
      </w:r>
    </w:p>
    <w:p>
      <w:pPr>
        <w:pStyle w:val="TextBody"/>
        <w:bidi w:val="0"/>
        <w:spacing w:before="16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NOTE 7 – DERIVATIVE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addresses certain financial exposures that include the use of derivative financial instruments. The Company enters into foreign currency forward contracts to reduce the effects of fluctuating foreign currency exchange rates. As of July 31, 2026, the Company's net forward contracts hedging portfolio designated as qualified cash flow hedging instruments consisted of $3.0 million Euros equivalent with various expiry dates ranging through August 12, 2026. The net gain or loss on the derivatives is reported as a component of accumulated other comprehensive income/(loss) and reclassified into earnings in the same period during which the hedged transaction affects earnings using the same revenue or expense category that the hedged item impacted. The Company also enters into foreign currency forward contracts not designated as qualified hedges in accordance with ASC 815, </w:t>
      </w:r>
      <w:r>
        <w:rPr>
          <w:rFonts w:ascii="Times New Roman" w:hAnsi="Times New Roman"/>
          <w:i/>
          <w:color w:val="000000"/>
          <w:sz w:val="20"/>
        </w:rPr>
        <w:t>Derivatives and Hedging</w:t>
      </w:r>
      <w:r>
        <w:rPr>
          <w:rFonts w:ascii="Times New Roman" w:hAnsi="Times New Roman"/>
          <w:color w:val="000000"/>
          <w:sz w:val="20"/>
        </w:rPr>
        <w:t>. As of July 31, 2026, the Company’s net forward contracts hedging portfolio not designated as qualified hedges consisted of 12.0 million Swiss Francs equivalent, 30.1 million U.S. dollars equivalent, 22.3 million Euros equivalent and 4.6 million British Pounds equivalent with various expiry dates ranging through December 3, 2026. Changes in the fair value of these derivatives are recognized in earnings in the period they arise. Net gains or losses related to these forward contracts are included in Cost of sales, Selling, general and administrative expenses in the Consolidated Statements of Operations. The cash flows related to these foreign currency contracts are classified in operating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fair values of the Company's derivative financial instruments included in the Consolidated Balance Sheets as of July 31, 2026, January 31, 2026 and July 31, 2025 (in thousands):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210"/>
        <w:gridCol w:w="146"/>
        <w:gridCol w:w="904"/>
        <w:gridCol w:w="146"/>
        <w:gridCol w:w="255"/>
        <w:gridCol w:w="373"/>
        <w:gridCol w:w="146"/>
        <w:gridCol w:w="146"/>
        <w:gridCol w:w="307"/>
        <w:gridCol w:w="544"/>
        <w:gridCol w:w="146"/>
        <w:gridCol w:w="146"/>
        <w:gridCol w:w="226"/>
        <w:gridCol w:w="402"/>
        <w:gridCol w:w="146"/>
        <w:gridCol w:w="146"/>
        <w:gridCol w:w="781"/>
        <w:gridCol w:w="146"/>
        <w:gridCol w:w="226"/>
        <w:gridCol w:w="402"/>
        <w:gridCol w:w="146"/>
        <w:gridCol w:w="146"/>
        <w:gridCol w:w="307"/>
        <w:gridCol w:w="544"/>
        <w:gridCol w:w="146"/>
        <w:gridCol w:w="146"/>
        <w:gridCol w:w="215"/>
        <w:gridCol w:w="413"/>
        <w:gridCol w:w="198"/>
      </w:tblGrid>
      <w:tr>
        <w:trPr/>
        <w:tc>
          <w:tcPr>
            <w:tcW w:w="2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Derivatives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2025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2025 </w:t>
              <w:br/>
              <w:t>Fair</w:t>
              <w:br/>
              <w:t> Value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 Current</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Accrued</w:t>
              <w:b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254"/>
        <w:gridCol w:w="146"/>
        <w:gridCol w:w="893"/>
        <w:gridCol w:w="146"/>
        <w:gridCol w:w="253"/>
        <w:gridCol w:w="371"/>
        <w:gridCol w:w="146"/>
        <w:gridCol w:w="146"/>
        <w:gridCol w:w="288"/>
        <w:gridCol w:w="554"/>
        <w:gridCol w:w="146"/>
        <w:gridCol w:w="146"/>
        <w:gridCol w:w="214"/>
        <w:gridCol w:w="411"/>
        <w:gridCol w:w="146"/>
        <w:gridCol w:w="146"/>
        <w:gridCol w:w="781"/>
        <w:gridCol w:w="146"/>
        <w:gridCol w:w="214"/>
        <w:gridCol w:w="411"/>
        <w:gridCol w:w="146"/>
        <w:gridCol w:w="146"/>
        <w:gridCol w:w="342"/>
        <w:gridCol w:w="500"/>
        <w:gridCol w:w="146"/>
        <w:gridCol w:w="146"/>
        <w:gridCol w:w="214"/>
        <w:gridCol w:w="411"/>
        <w:gridCol w:w="196"/>
      </w:tblGrid>
      <w:tr>
        <w:trPr/>
        <w:tc>
          <w:tcPr>
            <w:tcW w:w="2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4"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3"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Derivatives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2025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xml:space="preserve"> 2026 </w:t>
              <w:br/>
              <w:t>Fair</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xml:space="preserve"> 2025 </w:t>
              <w:br/>
              <w:t>Fair</w:t>
              <w:br/>
              <w:t>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Other Current</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Accrued</w:t>
              <w:b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January 31, 2026 and July 31, 2025, the balance of net deferred gains on derivative financial instruments designated as cash flow hedges included in accumulated other comprehensive income/(loss) were $0.1 million, $0 and ($0.8) million, respectively. For the three months ended July 31, 2026, and July 31, 2025, the Company reclassified $0.2 million and ($0.7) million, respectively, from accumulated other comprehensive income/(loss) to Net sales in the Consolidated Statements of Operations. For the six months ended July 31, 2026, and July 31, 2025, the Company reclassified $0.2 million and ($0.8) million, respectively, from accumulated other comprehensive income/(loss) to Net sales in the Consolidated Statements of Operations. No amounts associated with ineffectiveness have been recorded for the three months and six months ended July 31,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8 - Fair Value Measurements for fair value and presentation in the Consolidated Balance Sheets for derivatives.</w:t>
      </w:r>
    </w:p>
    <w:p>
      <w:pPr>
        <w:pStyle w:val="TextBody"/>
        <w:bidi w:val="0"/>
        <w:spacing w:before="180" w:after="283"/>
        <w:jc w:val="both"/>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8 –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Accounting guidance establishes a fair value hierarchy which prioritizes the inputs used in measuring fair value into three broad levels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Inputs, other than the quoted prices in active markets, that are observable either directly or indirectly.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Unobservable inputs based on the Company’s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guidance requires the use of observable market data if such data is available without undue cost and effort.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present the fair value hierarchy for those assets and liabilities measured at fair value on a recurring basis as of July 31, 2026 and 2025 and January 31, 2026 (in thousands):</w:t>
      </w:r>
    </w:p>
    <w:p>
      <w:pPr>
        <w:pStyle w:val="TextBody"/>
        <w:bidi w:val="0"/>
        <w:jc w:val="both"/>
        <w:rPr/>
      </w:pPr>
      <w:r>
        <w:rPr/>
        <w:t> </w:t>
      </w:r>
    </w:p>
    <w:tbl>
      <w:tblPr>
        <w:tblW w:w="9409" w:type="dxa"/>
        <w:jc w:val="left"/>
        <w:tblInd w:w="0" w:type="dxa"/>
        <w:tblLayout w:type="fixed"/>
        <w:tblCellMar>
          <w:top w:w="28" w:type="dxa"/>
          <w:left w:w="28" w:type="dxa"/>
          <w:bottom w:w="28" w:type="dxa"/>
          <w:right w:w="28" w:type="dxa"/>
        </w:tblCellMar>
      </w:tblPr>
      <w:tblGrid>
        <w:gridCol w:w="2386"/>
        <w:gridCol w:w="146"/>
        <w:gridCol w:w="2371"/>
        <w:gridCol w:w="146"/>
        <w:gridCol w:w="211"/>
        <w:gridCol w:w="676"/>
        <w:gridCol w:w="146"/>
        <w:gridCol w:w="146"/>
        <w:gridCol w:w="211"/>
        <w:gridCol w:w="421"/>
        <w:gridCol w:w="146"/>
        <w:gridCol w:w="146"/>
        <w:gridCol w:w="211"/>
        <w:gridCol w:w="676"/>
        <w:gridCol w:w="14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July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assets - employer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assets - employee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benefit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liabilities - employee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409" w:type="dxa"/>
        <w:jc w:val="left"/>
        <w:tblInd w:w="0" w:type="dxa"/>
        <w:tblLayout w:type="fixed"/>
        <w:tblCellMar>
          <w:top w:w="28" w:type="dxa"/>
          <w:left w:w="28" w:type="dxa"/>
          <w:bottom w:w="28" w:type="dxa"/>
          <w:right w:w="28" w:type="dxa"/>
        </w:tblCellMar>
      </w:tblPr>
      <w:tblGrid>
        <w:gridCol w:w="2386"/>
        <w:gridCol w:w="146"/>
        <w:gridCol w:w="2371"/>
        <w:gridCol w:w="146"/>
        <w:gridCol w:w="211"/>
        <w:gridCol w:w="676"/>
        <w:gridCol w:w="146"/>
        <w:gridCol w:w="146"/>
        <w:gridCol w:w="211"/>
        <w:gridCol w:w="421"/>
        <w:gridCol w:w="146"/>
        <w:gridCol w:w="146"/>
        <w:gridCol w:w="211"/>
        <w:gridCol w:w="676"/>
        <w:gridCol w:w="14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assets - employer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assets - employee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benefit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97,309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liabilities - employee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409" w:type="dxa"/>
        <w:jc w:val="left"/>
        <w:tblInd w:w="0" w:type="dxa"/>
        <w:tblLayout w:type="fixed"/>
        <w:tblCellMar>
          <w:top w:w="28" w:type="dxa"/>
          <w:left w:w="28" w:type="dxa"/>
          <w:bottom w:w="28" w:type="dxa"/>
          <w:right w:w="28" w:type="dxa"/>
        </w:tblCellMar>
      </w:tblPr>
      <w:tblGrid>
        <w:gridCol w:w="2386"/>
        <w:gridCol w:w="146"/>
        <w:gridCol w:w="2371"/>
        <w:gridCol w:w="146"/>
        <w:gridCol w:w="211"/>
        <w:gridCol w:w="676"/>
        <w:gridCol w:w="146"/>
        <w:gridCol w:w="146"/>
        <w:gridCol w:w="211"/>
        <w:gridCol w:w="421"/>
        <w:gridCol w:w="146"/>
        <w:gridCol w:w="146"/>
        <w:gridCol w:w="211"/>
        <w:gridCol w:w="676"/>
        <w:gridCol w:w="14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July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assets - employer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assets - employee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benefit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SERP liabilities - employee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values of the Company’s available-for-sale securities are based on quoted market prices. The fair value of the short-term investment, which is a guaranteed investment certificate, is based on its purchase price plus one half of one percent calculated annually. The assets related to the Company’s defined contribution supplemental executive retirement plan (“SERP”) consist of both employer (employee unvested) and employee assets which are invested in investment funds with fair values calculated based on quoted market prices. The SERP liability represents the Company’s liability to the employees in the plan for their vested balances. The hedge derivatives consist of cash flow hedging instruments and forward contracts (see Note 7 for further discussion) and are entered into by the Company principally to reduce its exposure to Swiss Franc and Euro exchange rate risks. Fair values of the Company’s hedge derivatives are calculated based on quoted foreign exchange rates and quoted interest rates.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sponsors a defined benefit pension plan in Switzerland. The plan covers certain eligible employees and provides benefits based on years of service and compensation on a career-average pay basis. The assets within the plan are classified as Level 3 within the fair value hierarchy and consist primarily of investments in pooled funds, including separate employee accounts invested in equity securities, debt securities and real estate. The fair values of these investments are based on valuations provided by the fund administrators, which are not readily observable and cannot be corroborated by observable market data; accordingly, these investments are classified within Level 3 of the fair value hierarchy. The net funded status of the plan, which reflects the fair value of plan assets less the projected benefit obligation, is included in Other non-current liabilities in the Consolidated Balance Sheets at July 31, 2026, January 31, 2026, and July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transfers between any levels of the fair value hierarchy for any of the Company’s fair value measurements.</w:t>
      </w:r>
    </w:p>
    <w:p>
      <w:pPr>
        <w:pStyle w:val="TextBody"/>
        <w:bidi w:val="0"/>
        <w:spacing w:before="40" w:after="283"/>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Investments Without Readily Determinable Fair Values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make minority investments in growth companies in the consumer products sector and other sectors relevant to its business, including certain of the Company's suppliers and customers, as well as in venture capital funds that invest in companies in media, entertainment, information technology and technology-related fields and in digital assets. Through fiscal 2026, the Company invested approximately $17.5 million and during the first six months of fiscal 2027, the Company invested an additional $1.1 million in venture capital funds. During the three months ended July 31, 2025, the Company recorded a non-cash impairment charge of $0.4 million (recorded in Other income, net in the Consolidated Statements of Operations for the three and six months ended July 31, 2025) related to one of its investments in a venture capital fund in which the Company has a limited partnership interest. The write-down was a result of a decline in fair value primarily attributable to a deterioration in the financial condition and operating performance of certain of the underlying portfolio companies within the fund that was determined to be other than temporary. The Company will continue to regularly evaluate the carrying value of its investments. The carrying value of the investments is recorded in Other non-current assets in the Consolidated Balance Sheets at July 31, 2026, January 31, 2026 and July 31, 2025. These investments are carried at cost, less any related impairments, adjusted for observable price changes, if any, as fair values are not readily determinable. Other than the additional investments made during the six months ended July 31, 2026, there were no impairment charges or observable price changes related to these investments.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9 – 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minimum commitments related to the Company’s license agreements and endorsement agreements with brand ambassadors, and also includes service agreements. The Company sources, distributes, advertises and sells watches and jewelry pursuant to its exclusive license agreements with unaffiliated licensors. Royalty amounts under the license agreements are generally based on a stipulated percentage of revenues, although most of these agreements contain provisions for the payment of minimum annual royalty amounts. The license agreements have various terms, and some have renewal options, provided that minimum sales levels are achieved. Additionally, the license agreements require the Company to pay minimum annual advertising amounts.</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believes that income tax reserves are adequate; however, amounts asserted by taxing authorities could be greater or less than amounts accrued and reflected in the Consolidated Balance Sheet. Accordingly, the Company could record adjustments to the amounts for federal, state, and foreign liabilities in the future as the Company revises estimates or settles or otherwise resolves the underlying matters. In the ordinary course of business, the Company may take new positions that could increase or decrease unrecognized tax benefits in future periods.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2025, the Company received a voluntary request from the Division of Enforcement of the Securities and Exchange Commission (the “SEC”) for documents and information relating to the restatement previously reported in fiscal year 2025. The Company is cooperating with the SEC in responding to those requests.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fiscal year 2026, the United States imposed additional “reciprocal” and other tariffs under the International Emergency Economic Powers Act (“IEEPA”). These tariffs were invalidated by the Supreme Court in February 2026. The Company paid approximately $10.0 million in IEEPA tariffs between February 2025 and February 2026. During the second quarter of fiscal 2027, the Company received approximately $3.2 million of refunds of previously paid IEEPA tariffs, which was recognized as a benefit to cost of sales during the quarter. The Company continues to pursue potential recoveries of the remaining amounts following recent court rulings and U.S. Customs and Border Protection (“CBP”) guidance. The Company has elected to apply a gain contingency model in accordance with ASC 450-30, </w:t>
      </w:r>
      <w:r>
        <w:rPr>
          <w:rFonts w:ascii="Times New Roman" w:hAnsi="Times New Roman"/>
          <w:i/>
          <w:color w:val="000000"/>
          <w:sz w:val="20"/>
        </w:rPr>
        <w:t>Gain Contingencies</w:t>
      </w:r>
      <w:r>
        <w:rPr>
          <w:rFonts w:ascii="Times New Roman" w:hAnsi="Times New Roman"/>
          <w:color w:val="000000"/>
          <w:sz w:val="20"/>
        </w:rPr>
        <w:t>, to account for potential recoveries of previously paid IEEPA tariffs. Under this model, a gain contingency is not recognized in the Consolidated Financial Statements until the gain is realized or realizable, which is at the earlier of when CBP affirms the Company’s refund claim or the refund is received in cash.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involved in legal proceedings and claims from time to time, in the ordinary course of its business. Legal reserves are recorded in accordance with the accounting guidance for contingencies. Contingencies are inherently unpredictable and it is possible that results of operations, balance sheets or cash flows could be materially and adversely affected in any particular period by unfavorable developments in, or resolution or disposition of, such matters. For those legal proceedings and claims for which the Company believes that it is probable that a reasonably estimable loss may result, the Company records a reserve for the potential loss. For proceedings and claims where the Company believes it is reasonably possible that a loss may result that is materially in excess of amounts accrued for the matter, the Company either discloses an estimate of such possible loss or range of loss or includes a statement that such an estimate cannot be made. As of July 31, 2026, the Company is party to legal proceedings and contingencies, the resolution of which is not expected to materially affect its financial condition, future results of operations beyond the amounts accrued, or cash flows.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10 –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recorded an income tax provision of $3.5 million and $2.0 million for the three months ended July 31, 2026 and 2025,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 tax rate was 22.1% and 38.5% for the three months ended July 31, 2026 and 2025, respectively. The significant components of the effective tax rate for the three-month period changed primarily due to an increase in the utilization of foreign tax credits related to Net Controlled Foreign Corporation Tested Income and changes in certain foreign valuation allowances, partially offset by changes in jurisdictional earnings.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recorded an income tax provision of $5.5 million and $2.6 million for the six months ended July 31, 2026 and 2025,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 tax rate was 22.0% and 37.2% for the six months ended July 31, 2026 and 2025, respectively. The significant components of the effective tax rate for the six-month period changed primarily due to an increase in the utilization of foreign tax credits related to Net Controlled Foreign Corporation Tested Income and excess tax benefits related to stock-based compensation in the current year as compared to deficiencies in the prior year, partially offset by changes in jurisdictional earnings.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July 31, 2026, the Company had no deferred tax liability for substantially all of the undistributed foreign earnings of approximately $262.9 million because the Company intends to permanently reinvest such earnings in its foreign operations. It is not practicable to estimate the tax liability related to a future distribution of these permanently reinvested foreign earnings.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(“OBBBA”) was signed into law by President Trump.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material impact on the Company's Consolidated Financial Statements for the first six months of fiscal 2027 or fiscal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11 –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components of equity for the three and six months ended July 31, 2026 and 2025 are as follows (in thousands): </w:t>
      </w:r>
    </w:p>
    <w:p>
      <w:pPr>
        <w:pStyle w:val="TextBody"/>
        <w:bidi w:val="0"/>
        <w:jc w:val="both"/>
        <w:rPr/>
      </w:pPr>
      <w:r>
        <w:rPr/>
        <w:t> </w:t>
      </w:r>
    </w:p>
    <w:tbl>
      <w:tblPr>
        <w:tblW w:w="13229" w:type="dxa"/>
        <w:jc w:val="left"/>
        <w:tblInd w:w="0" w:type="dxa"/>
        <w:tblLayout w:type="fixed"/>
        <w:tblCellMar>
          <w:top w:w="28" w:type="dxa"/>
          <w:left w:w="28" w:type="dxa"/>
          <w:bottom w:w="28" w:type="dxa"/>
          <w:right w:w="28" w:type="dxa"/>
        </w:tblCellMar>
      </w:tblPr>
      <w:tblGrid>
        <w:gridCol w:w="1171"/>
        <w:gridCol w:w="386"/>
        <w:gridCol w:w="227"/>
        <w:gridCol w:w="434"/>
        <w:gridCol w:w="146"/>
        <w:gridCol w:w="146"/>
        <w:gridCol w:w="146"/>
        <w:gridCol w:w="511"/>
        <w:gridCol w:w="146"/>
        <w:gridCol w:w="146"/>
        <w:gridCol w:w="223"/>
        <w:gridCol w:w="408"/>
        <w:gridCol w:w="146"/>
        <w:gridCol w:w="146"/>
        <w:gridCol w:w="158"/>
        <w:gridCol w:w="473"/>
        <w:gridCol w:w="151"/>
        <w:gridCol w:w="146"/>
        <w:gridCol w:w="261"/>
        <w:gridCol w:w="370"/>
        <w:gridCol w:w="151"/>
        <w:gridCol w:w="146"/>
        <w:gridCol w:w="181"/>
        <w:gridCol w:w="586"/>
        <w:gridCol w:w="146"/>
        <w:gridCol w:w="146"/>
        <w:gridCol w:w="181"/>
        <w:gridCol w:w="586"/>
        <w:gridCol w:w="151"/>
        <w:gridCol w:w="146"/>
        <w:gridCol w:w="240"/>
        <w:gridCol w:w="781"/>
        <w:gridCol w:w="151"/>
        <w:gridCol w:w="146"/>
        <w:gridCol w:w="181"/>
        <w:gridCol w:w="631"/>
        <w:gridCol w:w="151"/>
        <w:gridCol w:w="146"/>
        <w:gridCol w:w="299"/>
        <w:gridCol w:w="722"/>
        <w:gridCol w:w="151"/>
        <w:gridCol w:w="146"/>
        <w:gridCol w:w="181"/>
        <w:gridCol w:w="586"/>
        <w:gridCol w:w="356"/>
      </w:tblGrid>
      <w:tr>
        <w:trPr/>
        <w:tc>
          <w:tcPr>
            <w:tcW w:w="11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Movado Group, Inc. Shareholders'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Shares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Shares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 in</w:t>
              <w:br/>
              <w:t>Excess of</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April 30, 2026</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441,391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(296,346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506,917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income attributable to Movado Group, Inc.</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12,490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14"/>
              </w:rPr>
              <w:t>Dividends ($0.40</w:t>
            </w:r>
            <w:r>
              <w:rPr>
                <w:rFonts w:ascii="Times New Roman" w:hAnsi="Times New Roman"/>
                <w:color w:val="000000"/>
                <w:sz w:val="20"/>
              </w:rPr>
              <w:t> </w:t>
            </w:r>
            <w:r>
              <w:rPr>
                <w:rFonts w:ascii="Times New Roman" w:hAnsi="Times New Roman"/>
                <w:color w:val="000000"/>
                <w:sz w:val="14"/>
              </w:rPr>
              <w:t>per share)</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awards and options exercised</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repurchases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Conversion of Class A Common Stock to Common Stock</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Supplemental executive retirement plan</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Stock-based compensation expense</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unrealized gain on investments, net of tax provision of $14</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change in effective portion of hedging contracts, net of tax provision of $7</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Amortization of prior service cost, net of tax provision of $6</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Foreign currency translation adjustment (3)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July 31, 2026</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444,791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(297,376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507,217</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Shares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Shares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 in</w:t>
              <w:br/>
              <w:t>Excess of</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Balance, April 30, 2025</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440,341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(289,534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495,400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income attributable to Movado Group, Inc.</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14"/>
              </w:rPr>
              <w:t>Dividends ($0.35</w:t>
            </w:r>
            <w:r>
              <w:rPr>
                <w:rFonts w:ascii="Times New Roman" w:hAnsi="Times New Roman"/>
                <w:color w:val="000000"/>
                <w:sz w:val="20"/>
              </w:rPr>
              <w:t> </w:t>
            </w:r>
            <w:r>
              <w:rPr>
                <w:rFonts w:ascii="Times New Roman" w:hAnsi="Times New Roman"/>
                <w:color w:val="000000"/>
                <w:sz w:val="14"/>
              </w:rPr>
              <w:t>per share)</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awards and options exercised</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repurchases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Conversion of Class A Common Stock to Common Stock</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Supplemental executive retirement plan</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Stock-based compensation expense</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unrealized gain on investments, net of tax provision of $0</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change in effective portion of hedging contracts, net of tax provision of $52</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prior service cost, net of tax provision of $4</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Foreign currency translation adjustment (3)</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July 31, 2025</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435,553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(291,128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492,235</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3234" w:type="dxa"/>
        <w:jc w:val="left"/>
        <w:tblInd w:w="0" w:type="dxa"/>
        <w:tblLayout w:type="fixed"/>
        <w:tblCellMar>
          <w:top w:w="28" w:type="dxa"/>
          <w:left w:w="28" w:type="dxa"/>
          <w:bottom w:w="28" w:type="dxa"/>
          <w:right w:w="28" w:type="dxa"/>
        </w:tblCellMar>
      </w:tblPr>
      <w:tblGrid>
        <w:gridCol w:w="1171"/>
        <w:gridCol w:w="386"/>
        <w:gridCol w:w="227"/>
        <w:gridCol w:w="434"/>
        <w:gridCol w:w="146"/>
        <w:gridCol w:w="146"/>
        <w:gridCol w:w="146"/>
        <w:gridCol w:w="511"/>
        <w:gridCol w:w="146"/>
        <w:gridCol w:w="146"/>
        <w:gridCol w:w="223"/>
        <w:gridCol w:w="408"/>
        <w:gridCol w:w="146"/>
        <w:gridCol w:w="146"/>
        <w:gridCol w:w="158"/>
        <w:gridCol w:w="473"/>
        <w:gridCol w:w="151"/>
        <w:gridCol w:w="146"/>
        <w:gridCol w:w="261"/>
        <w:gridCol w:w="370"/>
        <w:gridCol w:w="151"/>
        <w:gridCol w:w="146"/>
        <w:gridCol w:w="181"/>
        <w:gridCol w:w="586"/>
        <w:gridCol w:w="151"/>
        <w:gridCol w:w="146"/>
        <w:gridCol w:w="181"/>
        <w:gridCol w:w="586"/>
        <w:gridCol w:w="151"/>
        <w:gridCol w:w="146"/>
        <w:gridCol w:w="240"/>
        <w:gridCol w:w="781"/>
        <w:gridCol w:w="151"/>
        <w:gridCol w:w="146"/>
        <w:gridCol w:w="181"/>
        <w:gridCol w:w="631"/>
        <w:gridCol w:w="151"/>
        <w:gridCol w:w="146"/>
        <w:gridCol w:w="299"/>
        <w:gridCol w:w="722"/>
        <w:gridCol w:w="151"/>
        <w:gridCol w:w="146"/>
        <w:gridCol w:w="181"/>
        <w:gridCol w:w="586"/>
        <w:gridCol w:w="356"/>
      </w:tblGrid>
      <w:tr>
        <w:trPr/>
        <w:tc>
          <w:tcPr>
            <w:tcW w:w="11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7"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Movado Group, Inc. Shareholders'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Shares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Shares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 in</w:t>
              <w:br/>
              <w:t>Excess of</w:t>
              <w:br/>
              <w:t>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31, 2026</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249,108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110,614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(293,441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510,260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income attributable to Movado Group, Inc.</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19,416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14"/>
              </w:rPr>
              <w:t>Dividends ($0.75</w:t>
            </w:r>
            <w:r>
              <w:rPr>
                <w:rFonts w:ascii="Times New Roman" w:hAnsi="Times New Roman"/>
                <w:color w:val="000000"/>
                <w:sz w:val="20"/>
              </w:rPr>
              <w:t> </w:t>
            </w:r>
            <w:r>
              <w:rPr>
                <w:rFonts w:ascii="Times New Roman" w:hAnsi="Times New Roman"/>
                <w:color w:val="000000"/>
                <w:sz w:val="14"/>
              </w:rPr>
              <w:t>per share)</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awards and options exercised</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repurchases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Conversion of Class A Common Stock to Common Stock</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Supplemental executive retirement plan</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Stock-based compensation expense</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unrealized gain on investments, net of tax provision of $15</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change in effective portion of hedging contracts, net of tax provision of $13</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Amortization of prior service cost, net of tax provision of $12</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Foreign currency translation adjustment (3)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July 31, 2026</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254,186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444,791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(297,376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507,217</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Shares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Shares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br/>
              <w:t>Common</w:t>
              <w:br/>
              <w:t>Stock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 in</w:t>
              <w:br/>
              <w:t>Excess of</w:t>
              <w:br/>
              <w:t>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Balance, January 31, 2025</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446,704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(289,067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483,579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income attributable to Movado Group, Inc.</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14"/>
              </w:rPr>
              <w:t>Dividends ($0.70</w:t>
            </w:r>
            <w:r>
              <w:rPr>
                <w:rFonts w:ascii="Times New Roman" w:hAnsi="Times New Roman"/>
                <w:color w:val="000000"/>
                <w:sz w:val="20"/>
              </w:rPr>
              <w:t> </w:t>
            </w:r>
            <w:r>
              <w:rPr>
                <w:rFonts w:ascii="Times New Roman" w:hAnsi="Times New Roman"/>
                <w:color w:val="000000"/>
                <w:sz w:val="14"/>
              </w:rPr>
              <w:t>per share)</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awards and options exercised</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 repurchases</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Conversion of Class A Common Stock to Common Stock</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Supplemental executive retirement plan</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Stock-based compensation expense</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unrealized loss on investments, net of tax benefit of ($10)</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Net change in effective portion of hedging contracts, net of tax benefit of ($159)</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prior service cost, net of tax provision of $7</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Foreign currency translation adjustment (3)</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20,381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July 31, 2025</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245,632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435,553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(291,128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492,235</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3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30" w:after="283"/>
        <w:jc w:val="both"/>
        <w:rPr>
          <w:rFonts w:ascii="Times New Roman" w:hAnsi="Times New Roman"/>
          <w:color w:val="000000"/>
          <w:sz w:val="14"/>
        </w:rPr>
      </w:pPr>
      <w:r>
        <w:rPr>
          <w:rFonts w:ascii="Times New Roman" w:hAnsi="Times New Roman"/>
          <w:color w:val="000000"/>
          <w:sz w:val="14"/>
        </w:rPr>
        <w:t>Each share of common stock is entitled to one vote per share on all matters submitted to a vote of the shareholders.</w:t>
      </w:r>
    </w:p>
    <w:p>
      <w:pPr>
        <w:pStyle w:val="TextBody"/>
        <w:bidi w:val="0"/>
        <w:spacing w:before="30" w:after="283"/>
        <w:jc w:val="both"/>
        <w:rPr>
          <w:rFonts w:ascii="Times New Roman" w:hAnsi="Times New Roman"/>
          <w:color w:val="000000"/>
          <w:sz w:val="14"/>
        </w:rPr>
      </w:pPr>
      <w:r>
        <w:rPr>
          <w:rFonts w:ascii="Times New Roman" w:hAnsi="Times New Roman"/>
          <w:color w:val="000000"/>
          <w:sz w:val="14"/>
        </w:rPr>
        <w:t>(2)</w:t>
      </w:r>
    </w:p>
    <w:p>
      <w:pPr>
        <w:pStyle w:val="TextBody"/>
        <w:bidi w:val="0"/>
        <w:spacing w:before="30" w:after="283"/>
        <w:jc w:val="both"/>
        <w:rPr>
          <w:rFonts w:ascii="Times New Roman" w:hAnsi="Times New Roman"/>
          <w:color w:val="000000"/>
          <w:sz w:val="14"/>
        </w:rPr>
      </w:pPr>
      <w:r>
        <w:rPr>
          <w:rFonts w:ascii="Times New Roman" w:hAnsi="Times New Roman"/>
          <w:color w:val="000000"/>
          <w:sz w:val="14"/>
        </w:rPr>
        <w:t>Each share of class A common stock is entitled to 10 votes per share on all matters submitted to a vote of the shareholders. Each holder of class A common stock is entitled to convert, at any time, any and all of such shares into the same number of shares of common stock. Each share of class A common stock is converted automatically into common stock in the event that the beneficial or record ownership of such shares of class A common stock is transferred to any person, except to certain family members or affiliated persons deemed “permitted transferees” pursuant to the Company’s Restated Certificate of Incorporation, as amended. The class A common stock is not publicly traded, and consequently, there is currently no established public trading market for these shares.</w:t>
      </w:r>
    </w:p>
    <w:p>
      <w:pPr>
        <w:pStyle w:val="TextBody"/>
        <w:bidi w:val="0"/>
        <w:spacing w:before="30" w:after="283"/>
        <w:jc w:val="both"/>
        <w:rPr>
          <w:rFonts w:ascii="Times New Roman" w:hAnsi="Times New Roman"/>
          <w:color w:val="000000"/>
          <w:sz w:val="14"/>
        </w:rPr>
      </w:pPr>
      <w:r>
        <w:rPr>
          <w:rFonts w:ascii="Times New Roman" w:hAnsi="Times New Roman"/>
          <w:color w:val="000000"/>
          <w:sz w:val="14"/>
        </w:rPr>
        <w:t>(3)</w:t>
      </w:r>
    </w:p>
    <w:p>
      <w:pPr>
        <w:pStyle w:val="TextBody"/>
        <w:bidi w:val="0"/>
        <w:spacing w:before="30" w:after="283"/>
        <w:jc w:val="both"/>
        <w:rPr>
          <w:rFonts w:ascii="Times New Roman" w:hAnsi="Times New Roman"/>
          <w:color w:val="000000"/>
          <w:sz w:val="14"/>
        </w:rPr>
      </w:pPr>
      <w:r>
        <w:rPr>
          <w:rFonts w:ascii="Times New Roman" w:hAnsi="Times New Roman"/>
          <w:color w:val="000000"/>
          <w:sz w:val="14"/>
        </w:rPr>
        <w:t>The currency translation adjustment is not adjusted for income taxes to the extent that it relates to permanent investments of earnings in international subsidiaries.</w:t>
      </w:r>
    </w:p>
    <w:p>
      <w:pPr>
        <w:pStyle w:val="TextBody"/>
        <w:bidi w:val="0"/>
        <w:spacing w:before="3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 12 – TREASURY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5, 2024, the Board approved a share repurchase program under which the Company is authorized to purchase up to $50.0 million of its outstanding common stock through December 5, 2027, depending on market conditions, share price and other factors. These purchases may be made through open market purchases, repurchase plans, block trades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July 31, 2026, the Company repurchased 61,000 shares of its common stock under the December 5, 2024 share repurchase program at a total cost of $1.5 million, or an average of $25.26 per share. During the six months ended July 31, 2025, the Company repurchased a total of 100,000 shares of its common stock under the December 5, 2024 share repurchase program at a total cost of $1.6 million, or an average of $15.94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July 31, 2026, $44.6 million remains available for purchase under the Company's December 5, 2024 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81,162 and 27,084 shares of common stock repurchased during the six months ended July 31, 2026 and 2025, respectively, as a result of the surrender of shares in connection with the vesting of restricted stock awards or stock options. At the election of an employee, shares having an aggregate value on the vesting date equal to the employee’s withholding tax obligation may be surrendered to the Company.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13 – ACCUMULATED OTHER COMPREHENSIVE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accumulated balances at July 31, 2026 and 2025, and January 31, 2026, related to each component of accumulated other comprehensive income are as follows (in thousands):</w:t>
      </w:r>
    </w:p>
    <w:p>
      <w:pPr>
        <w:pStyle w:val="TextBody"/>
        <w:bidi w:val="0"/>
        <w:jc w:val="both"/>
        <w:rPr/>
      </w:pPr>
      <w:r>
        <w:rPr/>
        <w:t> </w:t>
      </w:r>
    </w:p>
    <w:tbl>
      <w:tblPr>
        <w:tblW w:w="9823" w:type="dxa"/>
        <w:jc w:val="left"/>
        <w:tblInd w:w="0" w:type="dxa"/>
        <w:tblLayout w:type="fixed"/>
        <w:tblCellMar>
          <w:top w:w="28" w:type="dxa"/>
          <w:left w:w="28" w:type="dxa"/>
          <w:bottom w:w="28" w:type="dxa"/>
          <w:right w:w="28" w:type="dxa"/>
        </w:tblCellMar>
      </w:tblPr>
      <w:tblGrid>
        <w:gridCol w:w="5866"/>
        <w:gridCol w:w="146"/>
        <w:gridCol w:w="211"/>
        <w:gridCol w:w="781"/>
        <w:gridCol w:w="166"/>
        <w:gridCol w:w="146"/>
        <w:gridCol w:w="211"/>
        <w:gridCol w:w="781"/>
        <w:gridCol w:w="166"/>
        <w:gridCol w:w="146"/>
        <w:gridCol w:w="211"/>
        <w:gridCol w:w="781"/>
        <w:gridCol w:w="2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prior service cost related to defined benefit pension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actuarial loss related to defined benefit pension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Amounts reclassified from accumulated other comprehensive income/(loss) to operating income in the Consolidated Statements of Operations during the six months ended July 31, 2026 and July 31, 2025 were $0.2 million and ($0.8) million, respectively.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14 – REVENUE</w:t>
      </w:r>
    </w:p>
    <w:p>
      <w:pPr>
        <w:pStyle w:val="TextBody"/>
        <w:bidi w:val="0"/>
        <w:spacing w:before="120" w:after="283"/>
        <w:jc w:val="both"/>
        <w:rPr>
          <w:rFonts w:ascii="Times New Roman" w:hAnsi="Times New Roman"/>
          <w:sz w:val="20"/>
        </w:rPr>
      </w:pPr>
      <w:r>
        <w:rPr>
          <w:rFonts w:ascii="Times New Roman" w:hAnsi="Times New Roman"/>
          <w:b/>
          <w:color w:val="000000"/>
          <w:sz w:val="20"/>
        </w:rPr>
        <w:t>Disaggregation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Company’s net sales disaggregated by customer type. Sales and usage-based taxes are excluded from net sales (in thousands):</w:t>
      </w:r>
    </w:p>
    <w:p>
      <w:pPr>
        <w:pStyle w:val="TextBody"/>
        <w:bidi w:val="0"/>
        <w:jc w:val="both"/>
        <w:rPr/>
      </w:pPr>
      <w:r>
        <w:rPr/>
        <w:t> </w:t>
      </w:r>
    </w:p>
    <w:tbl>
      <w:tblPr>
        <w:tblW w:w="6832" w:type="dxa"/>
        <w:jc w:val="left"/>
        <w:tblInd w:w="0" w:type="dxa"/>
        <w:tblLayout w:type="fixed"/>
        <w:tblCellMar>
          <w:top w:w="28" w:type="dxa"/>
          <w:left w:w="28" w:type="dxa"/>
          <w:bottom w:w="28" w:type="dxa"/>
          <w:right w:w="28" w:type="dxa"/>
        </w:tblCellMar>
      </w:tblPr>
      <w:tblGrid>
        <w:gridCol w:w="1651"/>
        <w:gridCol w:w="146"/>
        <w:gridCol w:w="211"/>
        <w:gridCol w:w="781"/>
        <w:gridCol w:w="146"/>
        <w:gridCol w:w="146"/>
        <w:gridCol w:w="211"/>
        <w:gridCol w:w="781"/>
        <w:gridCol w:w="146"/>
        <w:gridCol w:w="146"/>
        <w:gridCol w:w="211"/>
        <w:gridCol w:w="781"/>
        <w:gridCol w:w="146"/>
        <w:gridCol w:w="146"/>
        <w:gridCol w:w="211"/>
        <w:gridCol w:w="78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Customer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to consumer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After-sales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revenue from contracts with customers is recognized at a point in time. The Company’s net sales disaggregated by geography are based on the location of the Company’s customer (see Note 16 – Segment and Geographic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Wholesale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wholesale revenue consists primarily of revenues from independent distributors, department stores, chain stores, independent jewelry stores and third-party e-commerce retailers. The Company recognizes and records its revenue when obligations under the terms of a contract with the customer are satisfied, and control is transferred to the customer. Transfer of control passes to wholesale customers upon shipment or upon receipt depending on the agreement with the customer and shipping terms. Wholesale revenue is measured as the amount of consideration the Company ultimately expects to receive in exchange for transferring goods. Wholesale revenue is included entirely within the Watch and Accessory Brands segment (see Note 16 – Segment and Geographic Information), consistent with how management makes decisions regarding the allocation of resources and performance measurement.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Direct to Consumer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direct to consumer revenue primarily consists of revenues from the Company’s outlet stores, the Company’s owned e-commerce websites and concession stores, and consumer repairs. The Company recognizes and records its revenue when obligations under the terms of a contract with the customer are satisfied, and control is transferred to the customer. Control passes to outlet store customers at the time of sale and to substantially all e-commerce customers upon shipment. Direct to Consumer revenue is included in either the Watch and Accessory Brands segment or Company Stores Segment based on how the Company makes decisions about the allocation of resources and performance measurement. Revenue derived from outlet stores and related e-commerce is included within the Company Stores Segment. Other Direct to Consumer revenue (i.e., revenue derived from other Company-owned e-commerce websites, concession stores and consumer repairs) is included within the Watch and Accessory Brands segment. (See Note 16 – Segment and Geographic Information).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After-Sales Service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watches sold by the Company come with limited warranties covering the movement against defects in materials and workmanship.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after-sales service revenue consists of out of warranty service provided to customers and authorized third-party repair centers, and sale of watch parts. The Company recognizes and records its revenue when obligations under the terms of a contract with the customer are satisfied and control is transferred to the customer. After-sales service revenue is measured as the amount of consideration the Company ultimately expects to receive in exchange for transferring goods. Revenue from after-sales service, including consumer repairs, is included entirely within the Watch and Accessory Brands segment, consistent with how management makes decisions about the allocation of resources and performance measurement.</w:t>
      </w:r>
    </w:p>
    <w:p>
      <w:pPr>
        <w:pStyle w:val="TextBody"/>
        <w:bidi w:val="0"/>
        <w:spacing w:before="180" w:after="283"/>
        <w:jc w:val="both"/>
        <w:rPr/>
      </w:pPr>
      <w:r>
        <w:rPr/>
        <w:t> </w:t>
      </w:r>
    </w:p>
    <w:p>
      <w:pPr>
        <w:pStyle w:val="TextBody"/>
        <w:bidi w:val="0"/>
        <w:spacing w:before="180" w:after="283"/>
        <w:jc w:val="both"/>
        <w:rPr>
          <w:rFonts w:ascii="Times New Roman" w:hAnsi="Times New Roman"/>
          <w:sz w:val="20"/>
        </w:rPr>
      </w:pPr>
      <w:r>
        <w:rPr>
          <w:rFonts w:ascii="Times New Roman" w:hAnsi="Times New Roman"/>
          <w:b/>
          <w:color w:val="000000"/>
          <w:sz w:val="20"/>
        </w:rPr>
        <w:t>NOTE 15 –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Company’s Stock Incentive Plan, as amended and restated as of June 22, 2023 (the “Plan”), the Compensation and Human Capital Committee of the Board of Directors, which consists of three of the Company’s non-employee directors, has the authority to grant participants incentive stock options, nonqualified stock options, restricted stock, stock appreciation rights and stock awards, for up to 12,000,000 shares of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options granted to participants under the Plan generally become exercisable after three years and remain exercisable until the tenth anniversary of the date of grant. All stock options granted under the Plan have an exercise price equal to or greater than the fair market value of the Company’s common stock on the grant date. There were no stock options granted during the six months ended July 31, 2026 and July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 of the stock options, less expected forfeitures, is amortized on a straight-line basis over the vesting term. Total compensation expense for stock option grants recognized during the three months ended July 31, 2026 and 2025 was $0 for both periods. Total compensation expense for stock option grants recognized during the six months ended July 31, 2026 and 2025 was $0 and $0.1 million, respectively. As of July 31, 2026, there was no unrecognized compensation cost related to unvested stock options. The fair value of stock options exercised during the first six months of fiscal 2027 was $1.9 million. Total cash consideration received for stock option exercises during the six months ended July 31, 2026, was $2.5 million. There were 37,623 shares of common stock of the Company tendered by employees for the payment of the employees' withholding tax obligation totaling $1.2 million for the six months ended July 31, 2026. In addition, during the six months ended July 31, 2026, $3.0 million of shares were tendered to the Company by the holders of the stock options for the payment of the exercise price of these options. There were no stock option exercises during the six months ended July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stock options activity during the first six months of fiscal 2027:</w:t>
      </w:r>
    </w:p>
    <w:p>
      <w:pPr>
        <w:pStyle w:val="TextBody"/>
        <w:bidi w:val="0"/>
        <w:jc w:val="both"/>
        <w:rPr/>
      </w:pPr>
      <w:r>
        <w:rPr/>
        <w:t> </w:t>
      </w:r>
    </w:p>
    <w:tbl>
      <w:tblPr>
        <w:tblW w:w="9630" w:type="dxa"/>
        <w:jc w:val="left"/>
        <w:tblInd w:w="0" w:type="dxa"/>
        <w:tblLayout w:type="fixed"/>
        <w:tblCellMar>
          <w:top w:w="28" w:type="dxa"/>
          <w:left w:w="28" w:type="dxa"/>
          <w:bottom w:w="28" w:type="dxa"/>
          <w:right w:w="28" w:type="dxa"/>
        </w:tblCellMar>
      </w:tblPr>
      <w:tblGrid>
        <w:gridCol w:w="3136"/>
        <w:gridCol w:w="146"/>
        <w:gridCol w:w="148"/>
        <w:gridCol w:w="858"/>
        <w:gridCol w:w="166"/>
        <w:gridCol w:w="146"/>
        <w:gridCol w:w="214"/>
        <w:gridCol w:w="582"/>
        <w:gridCol w:w="146"/>
        <w:gridCol w:w="146"/>
        <w:gridCol w:w="385"/>
        <w:gridCol w:w="920"/>
        <w:gridCol w:w="146"/>
        <w:gridCol w:w="146"/>
        <w:gridCol w:w="285"/>
        <w:gridCol w:w="706"/>
        <w:gridCol w:w="146"/>
        <w:gridCol w:w="146"/>
        <w:gridCol w:w="235"/>
        <w:gridCol w:w="636"/>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January 31,</w:t>
              <w:br/>
              <w:t> 2026 (899,349 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$27.74-$38.04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Includes 150,000 options exercised at an exercise price of $16.87 per option and 21,640 options exercised at an exercise price of $23.35 per option for which 97,157 shares of common stock of the Company were tendered to the Company by the holders of the stock options for the payment of the exercise price of these options.</w:t>
      </w:r>
    </w:p>
    <w:p>
      <w:pPr>
        <w:pStyle w:val="TextBody"/>
        <w:bidi w:val="0"/>
        <w:spacing w:before="12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Stock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Plan, the Company can also grant stock awards to employees and directors. For the three months ended July 31, 2026 and 2025, compensation expense for stock awards was $1.4 million and $1.0 million, respectively. For the six months ended July 31, 2026 and 2025, compensation expense for stock awards was $2.5 million and $2.1 million, respectively. As of July 31, 2026, there was approximately $8.7 million of unrecognized compensation cost related to unvested stock awards. These costs are expected to be recognized over a weighted-average period of 2.1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stock awards activity during the first six months of fiscal 2027:</w:t>
      </w:r>
    </w:p>
    <w:p>
      <w:pPr>
        <w:pStyle w:val="TextBody"/>
        <w:bidi w:val="0"/>
        <w:jc w:val="both"/>
        <w:rPr/>
      </w:pPr>
      <w:r>
        <w:rPr/>
        <w:t> </w:t>
      </w:r>
    </w:p>
    <w:tbl>
      <w:tblPr>
        <w:tblW w:w="10179" w:type="dxa"/>
        <w:jc w:val="left"/>
        <w:tblInd w:w="0" w:type="dxa"/>
        <w:tblLayout w:type="fixed"/>
        <w:tblCellMar>
          <w:top w:w="28" w:type="dxa"/>
          <w:left w:w="28" w:type="dxa"/>
          <w:bottom w:w="28" w:type="dxa"/>
          <w:right w:w="28" w:type="dxa"/>
        </w:tblCellMar>
      </w:tblPr>
      <w:tblGrid>
        <w:gridCol w:w="5371"/>
        <w:gridCol w:w="146"/>
        <w:gridCol w:w="146"/>
        <w:gridCol w:w="841"/>
        <w:gridCol w:w="166"/>
        <w:gridCol w:w="146"/>
        <w:gridCol w:w="230"/>
        <w:gridCol w:w="626"/>
        <w:gridCol w:w="146"/>
        <w:gridCol w:w="146"/>
        <w:gridCol w:w="991"/>
        <w:gridCol w:w="146"/>
        <w:gridCol w:w="211"/>
        <w:gridCol w:w="676"/>
        <w:gridCol w:w="1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Stock</w:t>
              <w:br/>
              <w:t>Award</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$(000's)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Units outstanding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Units granted adjustment for fiscal year 2025 and 2024 grants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Units outstanding at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19"/>
        </w:rPr>
        <w:t>(a)</w:t>
      </w:r>
      <w:r>
        <w:rPr>
          <w:rFonts w:ascii="Times New Roman" w:hAnsi="Times New Roman"/>
          <w:color w:val="000000"/>
          <w:sz w:val="20"/>
        </w:rPr>
        <w:t xml:space="preserve"> </w:t>
      </w:r>
      <w:r>
        <w:rPr>
          <w:rFonts w:ascii="Times New Roman" w:hAnsi="Times New Roman"/>
          <w:color w:val="000000"/>
          <w:sz w:val="19"/>
        </w:rPr>
        <w:t>Grant adjustment made due to not reaching the financial goals.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Stock awards granted by the Company can be classified as either time-based stock awards or performance-based stock awards. Time-based stock awards vest over time in the number of shares established at grant date, subject to continued employment. Performance-based stock awards vest over time subject both to continued employment and to the achievement of corporate financial performance goals. Upon the vesting of a stock award, shares are issued from the pool of authorized shares. The number of shares to be issued related to the outstanding performance-based stock awards can vary from 0% to 200% of the target number of underlying stock award units, established at grant date, depending on the particular stock awards and the extent of the achievement of the predetermined financial goals. There were 43,539 and 27,084 shares of common stock of the Company tendered by the employees for the payment of the employees' withholding tax obligation totaling $1.2 million and $0.5 million for the six months ended July 31, 2026 and 2025, respectively. The total fair value of stock award units that vested during the first six months of fiscal 2027 was $4.3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pPr>
      <w:r>
        <w:rPr/>
        <w:t> </w:t>
      </w:r>
    </w:p>
    <w:p>
      <w:pPr>
        <w:pStyle w:val="TextBody"/>
        <w:bidi w:val="0"/>
        <w:spacing w:before="180" w:after="283"/>
        <w:jc w:val="both"/>
        <w:rPr>
          <w:rFonts w:ascii="Times New Roman" w:hAnsi="Times New Roman"/>
          <w:sz w:val="20"/>
        </w:rPr>
      </w:pPr>
      <w:r>
        <w:rPr>
          <w:rFonts w:ascii="Times New Roman" w:hAnsi="Times New Roman"/>
          <w:b/>
          <w:color w:val="000000"/>
          <w:sz w:val="20"/>
        </w:rPr>
        <w:t>NOTE 16 – SEGMENT AND GEOGRAPHIC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follows accounting guidance related to disclosures about segments of an enterprise and related information. This guidance requires disclosure of segment data based on how management makes decisions about allocating resources to segments and measuring their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conducts its business in two operating segments: Watch and Accessory Brands and Company Stores. The Company’s Watch and Accessory Brands segment includes the designing, manufacturing and distribution of watches and, to a lesser extent, jewelry and other accessories, of owned and licensed brands, in addition to revenue generated from after-sales service activities and shipping. The Company Stores segment includes the Company’s retail outlet business. The Chief Executive Officer of the Company is the Company's chief operating decision maker (“CODM”) and regularly reviews operating results for each of the two operating segments to assess performance and makes operating decisions about the allocation of the Company’s resources. The Company’s CODM evaluates operating results based on gross profit, defined as net sales less cost of sales, and operating income, defined as gross profit less selling, general and administrative expenses. The CODM uses gross profit and operating income in the budgeting and forecasting process. The CODM considers budget-to-current forecast and prior forecast-to-current forecast variances for gross profit and operating income for evaluating performance of the segments and making decisions about allocating capital and other resources to each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divides its business into two major geographic locations: United States operations and International, which includes the results of all non-U.S. Company operations. The allocation of geographic revenue is based upon the location of the customer. The following table summarizes the Company's net sales in the International locations by region as a percentage of the Company's total net sales for the three and six months ended July 31, 2026 and 2025. </w:t>
      </w:r>
    </w:p>
    <w:tbl>
      <w:tblPr>
        <w:tblW w:w="8834" w:type="dxa"/>
        <w:jc w:val="left"/>
        <w:tblInd w:w="0" w:type="dxa"/>
        <w:tblLayout w:type="fixed"/>
        <w:tblCellMar>
          <w:top w:w="28" w:type="dxa"/>
          <w:left w:w="28" w:type="dxa"/>
          <w:bottom w:w="28" w:type="dxa"/>
          <w:right w:w="28" w:type="dxa"/>
        </w:tblCellMar>
      </w:tblPr>
      <w:tblGrid>
        <w:gridCol w:w="3486"/>
        <w:gridCol w:w="146"/>
        <w:gridCol w:w="198"/>
        <w:gridCol w:w="634"/>
        <w:gridCol w:w="369"/>
        <w:gridCol w:w="198"/>
        <w:gridCol w:w="198"/>
        <w:gridCol w:w="634"/>
        <w:gridCol w:w="271"/>
        <w:gridCol w:w="146"/>
        <w:gridCol w:w="181"/>
        <w:gridCol w:w="579"/>
        <w:gridCol w:w="337"/>
        <w:gridCol w:w="181"/>
        <w:gridCol w:w="181"/>
        <w:gridCol w:w="579"/>
        <w:gridCol w:w="516"/>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 (excluding the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Middle 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International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Operating Segment Data for the Three Months Ended July 31, 2026 and 2025 (in thousands):</w:t>
      </w:r>
    </w:p>
    <w:p>
      <w:pPr>
        <w:pStyle w:val="TextBody"/>
        <w:bidi w:val="0"/>
        <w:jc w:val="both"/>
        <w:rPr/>
      </w:pPr>
      <w:r>
        <w:rPr/>
        <w:t> </w:t>
      </w:r>
    </w:p>
    <w:tbl>
      <w:tblPr>
        <w:tblW w:w="5789" w:type="dxa"/>
        <w:jc w:val="left"/>
        <w:tblInd w:w="0" w:type="dxa"/>
        <w:tblLayout w:type="fixed"/>
        <w:tblCellMar>
          <w:top w:w="28" w:type="dxa"/>
          <w:left w:w="28" w:type="dxa"/>
          <w:bottom w:w="28" w:type="dxa"/>
          <w:right w:w="28" w:type="dxa"/>
        </w:tblCellMar>
      </w:tblPr>
      <w:tblGrid>
        <w:gridCol w:w="2956"/>
        <w:gridCol w:w="146"/>
        <w:gridCol w:w="211"/>
        <w:gridCol w:w="781"/>
        <w:gridCol w:w="166"/>
        <w:gridCol w:w="146"/>
        <w:gridCol w:w="211"/>
        <w:gridCol w:w="781"/>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 brands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Licensed brands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212529"/>
          <w:sz w:val="20"/>
        </w:rPr>
        <w:t>Other includes after-sales service revenue, certain unallocated corporate-level adjustments to net sales, gains and losses related to cash flow hedges and shipping revenue</w:t>
      </w:r>
      <w:r>
        <w:rPr>
          <w:rFonts w:ascii="Times New Roman" w:hAnsi="Times New Roman"/>
          <w:color w:val="212529"/>
          <w:sz w:val="19"/>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10"/>
        <w:gridCol w:w="146"/>
        <w:gridCol w:w="316"/>
        <w:gridCol w:w="1116"/>
        <w:gridCol w:w="146"/>
        <w:gridCol w:w="240"/>
        <w:gridCol w:w="737"/>
        <w:gridCol w:w="146"/>
        <w:gridCol w:w="253"/>
        <w:gridCol w:w="896"/>
        <w:gridCol w:w="166"/>
        <w:gridCol w:w="146"/>
        <w:gridCol w:w="316"/>
        <w:gridCol w:w="1116"/>
        <w:gridCol w:w="166"/>
        <w:gridCol w:w="240"/>
        <w:gridCol w:w="737"/>
        <w:gridCol w:w="146"/>
        <w:gridCol w:w="253"/>
        <w:gridCol w:w="896"/>
        <w:gridCol w:w="217"/>
      </w:tblGrid>
      <w:tr>
        <w:trPr/>
        <w:tc>
          <w:tcPr>
            <w:tcW w:w="1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Watch and Accessory Brands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Company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 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Watch and Accessory Brands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Company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 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161,829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74,264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83,558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income/(loss)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5,099</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pPr>
      <w:r>
        <w:rPr>
          <w:rFonts w:ascii="Times New Roman" w:hAnsi="Times New Roman"/>
          <w:color w:val="000000"/>
          <w:sz w:val="20"/>
        </w:rPr>
        <w:t>The Gross profit in the Watch and Accessory Brands segment for the three months ended July 31, 2026 included $3.2</w:t>
      </w:r>
      <w:r>
        <w:rPr>
          <w:color w:val="000000"/>
        </w:rPr>
        <w:t xml:space="preserve"> </w:t>
      </w:r>
      <w:r>
        <w:rPr>
          <w:rFonts w:ascii="Times New Roman" w:hAnsi="Times New Roman"/>
          <w:color w:val="000000"/>
          <w:sz w:val="20"/>
        </w:rPr>
        <w:t>million of IEEPA duty refunds received.</w:t>
      </w:r>
      <w:r>
        <w:rPr>
          <w:color w:val="000000"/>
        </w:rPr>
        <w:t xml:space="preserv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pPr>
      <w:r>
        <w:rPr>
          <w:rFonts w:ascii="Times New Roman" w:hAnsi="Times New Roman"/>
          <w:color w:val="000000"/>
          <w:sz w:val="20"/>
        </w:rPr>
        <w:t>The operating income/(loss) in the Watch and Accessory Brands Segment included $13.9</w:t>
      </w:r>
      <w:r>
        <w:rPr>
          <w:color w:val="000000"/>
        </w:rPr>
        <w:t xml:space="preserve"> </w:t>
      </w:r>
      <w:r>
        <w:rPr>
          <w:rFonts w:ascii="Times New Roman" w:hAnsi="Times New Roman"/>
          <w:color w:val="000000"/>
          <w:sz w:val="20"/>
        </w:rPr>
        <w:t>million and $10.7</w:t>
      </w:r>
      <w:r>
        <w:rPr>
          <w:color w:val="000000"/>
        </w:rPr>
        <w:t xml:space="preserve"> </w:t>
      </w:r>
      <w:r>
        <w:rPr>
          <w:rFonts w:ascii="Times New Roman" w:hAnsi="Times New Roman"/>
          <w:color w:val="000000"/>
          <w:sz w:val="20"/>
        </w:rPr>
        <w:t>million of unallocated corporate expenses for the three months ended July 31, 2026 and 2025, respectively, and $14.6</w:t>
      </w:r>
      <w:r>
        <w:rPr>
          <w:color w:val="000000"/>
        </w:rPr>
        <w:t xml:space="preserve"> </w:t>
      </w:r>
      <w:r>
        <w:rPr>
          <w:rFonts w:ascii="Times New Roman" w:hAnsi="Times New Roman"/>
          <w:color w:val="000000"/>
          <w:sz w:val="20"/>
        </w:rPr>
        <w:t>million and $14.6</w:t>
      </w:r>
      <w:r>
        <w:rPr>
          <w:color w:val="000000"/>
        </w:rPr>
        <w:t xml:space="preserve"> </w:t>
      </w:r>
      <w:r>
        <w:rPr>
          <w:rFonts w:ascii="Times New Roman" w:hAnsi="Times New Roman"/>
          <w:color w:val="000000"/>
          <w:sz w:val="20"/>
        </w:rPr>
        <w:t xml:space="preserve">million of certain intercompany profits related to the Company's supply chain operations for the three months ended July 31, 2026 and 2025, respectively.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both"/>
        <w:rPr/>
      </w:pPr>
      <w:r>
        <w:rPr>
          <w:rFonts w:ascii="Times New Roman" w:hAnsi="Times New Roman"/>
          <w:color w:val="000000"/>
          <w:sz w:val="20"/>
        </w:rPr>
        <w:t>The operating income/(loss) in the Watch and Accessory Brands segment for the three months ended July 31, 2026 and 2025, included a pre-tax charge of $0.2</w:t>
      </w:r>
      <w:r>
        <w:rPr>
          <w:color w:val="000000"/>
        </w:rPr>
        <w:t xml:space="preserve"> </w:t>
      </w:r>
      <w:r>
        <w:rPr>
          <w:rFonts w:ascii="Times New Roman" w:hAnsi="Times New Roman"/>
          <w:color w:val="000000"/>
          <w:sz w:val="20"/>
        </w:rPr>
        <w:t>million and $2.1</w:t>
      </w:r>
      <w:r>
        <w:rPr>
          <w:color w:val="000000"/>
        </w:rPr>
        <w:t xml:space="preserve"> </w:t>
      </w:r>
      <w:r>
        <w:rPr>
          <w:rFonts w:ascii="Times New Roman" w:hAnsi="Times New Roman"/>
          <w:color w:val="000000"/>
          <w:sz w:val="20"/>
        </w:rPr>
        <w:t>million, respectively, related to the investigation of misconduct within the Dubai branch of the Company's Swiss subsidiary. The operating income/(loss) in the Watch and Accessory Brands segment for the three months ended July 31, 2025, included a pre-tax charge of $0.9</w:t>
      </w:r>
      <w:r>
        <w:rPr>
          <w:color w:val="000000"/>
        </w:rPr>
        <w:t xml:space="preserve"> </w:t>
      </w:r>
      <w:r>
        <w:rPr>
          <w:rFonts w:ascii="Times New Roman" w:hAnsi="Times New Roman"/>
          <w:color w:val="000000"/>
          <w:sz w:val="20"/>
        </w:rPr>
        <w:t>million related to the Company's cost-savings initiative.</w:t>
      </w:r>
    </w:p>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Operating Segment Data as of and for the Six Months Ended July 31, 2026 and 2025 (in thousands):</w:t>
      </w:r>
    </w:p>
    <w:p>
      <w:pPr>
        <w:pStyle w:val="TextBody"/>
        <w:bidi w:val="0"/>
        <w:jc w:val="both"/>
        <w:rPr/>
      </w:pPr>
      <w:r>
        <w:rPr/>
        <w:t> </w:t>
      </w:r>
    </w:p>
    <w:tbl>
      <w:tblPr>
        <w:tblW w:w="5769"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 brands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Licensed brands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212529"/>
          <w:sz w:val="20"/>
        </w:rPr>
        <w:t>Other includes after-sales service revenue, certain unallocated corporate-level adjustments to net sales, gains and losses related to cash flow hedges and shipping revenue</w:t>
      </w:r>
      <w:r>
        <w:rPr>
          <w:rFonts w:ascii="Times New Roman" w:hAnsi="Times New Roman"/>
          <w:color w:val="212529"/>
          <w:sz w:val="19"/>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10"/>
        <w:gridCol w:w="146"/>
        <w:gridCol w:w="316"/>
        <w:gridCol w:w="1116"/>
        <w:gridCol w:w="146"/>
        <w:gridCol w:w="240"/>
        <w:gridCol w:w="737"/>
        <w:gridCol w:w="146"/>
        <w:gridCol w:w="253"/>
        <w:gridCol w:w="896"/>
        <w:gridCol w:w="166"/>
        <w:gridCol w:w="146"/>
        <w:gridCol w:w="316"/>
        <w:gridCol w:w="1116"/>
        <w:gridCol w:w="166"/>
        <w:gridCol w:w="240"/>
        <w:gridCol w:w="737"/>
        <w:gridCol w:w="146"/>
        <w:gridCol w:w="253"/>
        <w:gridCol w:w="896"/>
        <w:gridCol w:w="217"/>
      </w:tblGrid>
      <w:tr>
        <w:trPr/>
        <w:tc>
          <w:tcPr>
            <w:tcW w:w="1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Watch and Accessory Brands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Company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 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Watch and Accessory Brands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Company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 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293,598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134,683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158,915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154,617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income/(loss) (2)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7,039</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Gross profit in the Watch and Accessory Brands segment for the six months ended July 31, 2026 included $3.2 million of IEEPA duty refunds received.</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operating income/(loss) in the Watch and Accessory Brands Segment included $25.4 million and $18.7 million of unallocated corporate expenses for the six months ended July 31, 2026 and 2025, respectively, and $27.5 million and $28.6 million of certain intercompany profits related to the Company's supply chain operations for the six months ended July 31, 2026 and 2025, respectively.</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operating income/(loss) in the Watch and Accessory Brands segment for the six months ended July 31, 2026 and 2025, included a pre-tax charge of $0.7 million and $2.1 million, respectively, related to the investigation of misconduct within the Dubai branch of the Company's Swiss subsidiary. The operating income/(loss) in the Watch and Accessory Brands segment for the six months ended July 31, 2025, included a pre-tax charge of $1.5 million related to the Company's cost-savings initiative.</w:t>
      </w:r>
    </w:p>
    <w:p>
      <w:pPr>
        <w:pStyle w:val="TextBody"/>
        <w:bidi w:val="0"/>
        <w:spacing w:before="40" w:after="283"/>
        <w:jc w:val="both"/>
        <w:rPr/>
      </w:pPr>
      <w:r>
        <w:rPr/>
        <w:t> </w:t>
      </w:r>
    </w:p>
    <w:tbl>
      <w:tblPr>
        <w:tblW w:w="8521" w:type="dxa"/>
        <w:jc w:val="left"/>
        <w:tblInd w:w="0" w:type="dxa"/>
        <w:tblLayout w:type="fixed"/>
        <w:tblCellMar>
          <w:top w:w="28" w:type="dxa"/>
          <w:left w:w="28" w:type="dxa"/>
          <w:bottom w:w="28" w:type="dxa"/>
          <w:right w:w="28" w:type="dxa"/>
        </w:tblCellMar>
      </w:tblPr>
      <w:tblGrid>
        <w:gridCol w:w="2476"/>
        <w:gridCol w:w="146"/>
        <w:gridCol w:w="211"/>
        <w:gridCol w:w="781"/>
        <w:gridCol w:w="146"/>
        <w:gridCol w:w="146"/>
        <w:gridCol w:w="211"/>
        <w:gridCol w:w="781"/>
        <w:gridCol w:w="146"/>
        <w:gridCol w:w="146"/>
        <w:gridCol w:w="211"/>
        <w:gridCol w:w="781"/>
        <w:gridCol w:w="146"/>
        <w:gridCol w:w="146"/>
        <w:gridCol w:w="211"/>
        <w:gridCol w:w="571"/>
        <w:gridCol w:w="146"/>
        <w:gridCol w:w="146"/>
        <w:gridCol w:w="211"/>
        <w:gridCol w:w="57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Expenditures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and Accessory Brands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Geographic Location Data for the Three Months Ended July 31, 2026 and 2025 (in thousands):</w:t>
      </w:r>
    </w:p>
    <w:p>
      <w:pPr>
        <w:pStyle w:val="TextBody"/>
        <w:bidi w:val="0"/>
        <w:spacing w:before="120" w:after="283"/>
        <w:jc w:val="both"/>
        <w:rPr/>
      </w:pPr>
      <w:r>
        <w:rPr/>
        <w:t> </w:t>
      </w:r>
    </w:p>
    <w:tbl>
      <w:tblPr>
        <w:tblW w:w="4395" w:type="dxa"/>
        <w:jc w:val="left"/>
        <w:tblInd w:w="0" w:type="dxa"/>
        <w:tblLayout w:type="fixed"/>
        <w:tblCellMar>
          <w:top w:w="28" w:type="dxa"/>
          <w:left w:w="28" w:type="dxa"/>
          <w:bottom w:w="28" w:type="dxa"/>
          <w:right w:w="28" w:type="dxa"/>
        </w:tblCellMar>
      </w:tblPr>
      <w:tblGrid>
        <w:gridCol w:w="1636"/>
        <w:gridCol w:w="146"/>
        <w:gridCol w:w="211"/>
        <w:gridCol w:w="781"/>
        <w:gridCol w:w="146"/>
        <w:gridCol w:w="146"/>
        <w:gridCol w:w="211"/>
        <w:gridCol w:w="781"/>
        <w:gridCol w:w="14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United States and International net sales are net of intercompany sales of $73.3 million and $82.1 million for the three months ended July 31, 2026 and 2025, respectively.</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Geographic Location Data as of and for the Six Months Ended July 31, 2026 and 2025 (in thousands):</w:t>
      </w:r>
    </w:p>
    <w:p>
      <w:pPr>
        <w:pStyle w:val="TextBody"/>
        <w:bidi w:val="0"/>
        <w:jc w:val="both"/>
        <w:rPr/>
      </w:pPr>
      <w:r>
        <w:rPr/>
        <w:t> </w:t>
      </w:r>
    </w:p>
    <w:tbl>
      <w:tblPr>
        <w:tblW w:w="4395" w:type="dxa"/>
        <w:jc w:val="left"/>
        <w:tblInd w:w="0" w:type="dxa"/>
        <w:tblLayout w:type="fixed"/>
        <w:tblCellMar>
          <w:top w:w="28" w:type="dxa"/>
          <w:left w:w="28" w:type="dxa"/>
          <w:bottom w:w="28" w:type="dxa"/>
          <w:right w:w="28" w:type="dxa"/>
        </w:tblCellMar>
      </w:tblPr>
      <w:tblGrid>
        <w:gridCol w:w="1636"/>
        <w:gridCol w:w="146"/>
        <w:gridCol w:w="211"/>
        <w:gridCol w:w="781"/>
        <w:gridCol w:w="146"/>
        <w:gridCol w:w="146"/>
        <w:gridCol w:w="211"/>
        <w:gridCol w:w="781"/>
        <w:gridCol w:w="14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United States and International net sales are net of intercompany sales of $151.7 million and $156.1 million for the six months ended July 31, 2026 and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Long-lived assets consist of Operating Right-of-Use Assets and Property, Plant and Equipment, Net.</w:t>
      </w:r>
    </w:p>
    <w:p>
      <w:pPr>
        <w:pStyle w:val="TextBody"/>
        <w:bidi w:val="0"/>
        <w:jc w:val="both"/>
        <w:rPr/>
      </w:pPr>
      <w:r>
        <w:rPr/>
        <w:t> </w:t>
      </w:r>
    </w:p>
    <w:tbl>
      <w:tblPr>
        <w:tblW w:w="5321" w:type="dxa"/>
        <w:jc w:val="left"/>
        <w:tblInd w:w="0" w:type="dxa"/>
        <w:tblLayout w:type="fixed"/>
        <w:tblCellMar>
          <w:top w:w="28" w:type="dxa"/>
          <w:left w:w="28" w:type="dxa"/>
          <w:bottom w:w="28" w:type="dxa"/>
          <w:right w:w="28" w:type="dxa"/>
        </w:tblCellMar>
      </w:tblPr>
      <w:tblGrid>
        <w:gridCol w:w="1636"/>
        <w:gridCol w:w="146"/>
        <w:gridCol w:w="211"/>
        <w:gridCol w:w="676"/>
        <w:gridCol w:w="146"/>
        <w:gridCol w:w="146"/>
        <w:gridCol w:w="235"/>
        <w:gridCol w:w="755"/>
        <w:gridCol w:w="146"/>
        <w:gridCol w:w="146"/>
        <w:gridCol w:w="211"/>
        <w:gridCol w:w="6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Long-Lived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321" w:type="dxa"/>
        <w:jc w:val="left"/>
        <w:tblInd w:w="0" w:type="dxa"/>
        <w:tblLayout w:type="fixed"/>
        <w:tblCellMar>
          <w:top w:w="28" w:type="dxa"/>
          <w:left w:w="28" w:type="dxa"/>
          <w:bottom w:w="28" w:type="dxa"/>
          <w:right w:w="28" w:type="dxa"/>
        </w:tblCellMar>
      </w:tblPr>
      <w:tblGrid>
        <w:gridCol w:w="1636"/>
        <w:gridCol w:w="146"/>
        <w:gridCol w:w="211"/>
        <w:gridCol w:w="676"/>
        <w:gridCol w:w="146"/>
        <w:gridCol w:w="146"/>
        <w:gridCol w:w="235"/>
        <w:gridCol w:w="755"/>
        <w:gridCol w:w="146"/>
        <w:gridCol w:w="146"/>
        <w:gridCol w:w="211"/>
        <w:gridCol w:w="6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Right-of-Use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321" w:type="dxa"/>
        <w:jc w:val="left"/>
        <w:tblInd w:w="0" w:type="dxa"/>
        <w:tblLayout w:type="fixed"/>
        <w:tblCellMar>
          <w:top w:w="28" w:type="dxa"/>
          <w:left w:w="28" w:type="dxa"/>
          <w:bottom w:w="28" w:type="dxa"/>
          <w:right w:w="28" w:type="dxa"/>
        </w:tblCellMar>
      </w:tblPr>
      <w:tblGrid>
        <w:gridCol w:w="1636"/>
        <w:gridCol w:w="146"/>
        <w:gridCol w:w="211"/>
        <w:gridCol w:w="676"/>
        <w:gridCol w:w="146"/>
        <w:gridCol w:w="146"/>
        <w:gridCol w:w="235"/>
        <w:gridCol w:w="755"/>
        <w:gridCol w:w="146"/>
        <w:gridCol w:w="146"/>
        <w:gridCol w:w="211"/>
        <w:gridCol w:w="6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Plant and Equipment,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7" w:name="item_2"/>
      <w:bookmarkEnd w:id="7"/>
      <w:r>
        <w:rPr>
          <w:rFonts w:ascii="Times New Roman" w:hAnsi="Times New Roman"/>
          <w:i/>
          <w:color w:val="000000"/>
          <w:sz w:val="20"/>
        </w:rPr>
        <w:t xml:space="preserve">Item 2. Management’s Discussion and Analysis of </w:t>
      </w:r>
      <w:bookmarkStart w:id="8" w:name="item_2_managements_discussion_analysis_f"/>
      <w:bookmarkEnd w:id="8"/>
      <w:r>
        <w:rPr>
          <w:rFonts w:ascii="Times New Roman" w:hAnsi="Times New Roman"/>
          <w:i/>
          <w:color w:val="000000"/>
          <w:sz w:val="20"/>
        </w:rPr>
        <w:t>Financial Condition and Results of Operations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Statements in this Quarterly Report on Form 10-Q, including, without limitation, statements under Item 2 “Management’s Discussion and Analysis of Financial Condition and Results of Operations” and elsewhere in this report, as well as statements in future filings by the Company with the Securities and Exchange Commission (the “SEC”), in the Company’s press releases and oral statements made by or with the approval of an authorized executive officer of the Company, which are not historical in nature, are intended to be, and are hereby identified as, “forward-looking statements” for purposes of the safe harbor provided by the Private Securities Litigation Reform Act of 1995. These statements are based on current expectations, estimates, forecasts and projections about the Company, its future performance, the industry in which the Company operates and management’s assumptions. Words such as “expects”, “anticipates”, “targets”, “goals”, “projects”, “intends”, “plans”, “believes”, “seeks”, “estimates”, “may”, “will”, “should” and variations of such words and similar expressions are also intended to identify such forward-looking statements. The Company cautions readers that forward-looking statements include, without limitation, those relating to the Company’s future business prospects, projected operating or financial results, revenues, working capital, liquidity, capital needs, inventory levels, plans for future operations, expectations regarding capital expenditures, operating efficiency initiatives and other items, cost-savings initiatives, and operating expenses, effective tax rates, margins, interest costs, and income as well as assumptions relating to the foregoing. Forward-looking statements are subject to certain risks and uncertainties, some of which cannot be predicted or quantified. Actual results and future events could differ materially from those indicated in the forward-looking statements, due to several important factors herein identified, among others, and other risks and factors identified from time to time in the Company’s reports filed with the SEC, including, without limitation, the following: the Company's ability to maintain effective internal control over financial reporting in the future; general economic and business conditions which may impact disposable income of consumers in the United States and the other significant markets (including Europe) where the Company's products are sold; uncertainty regarding such economic and business conditions, including inflation and elevated interest rates; increased commodity prices and tightness in the labor market; trends in consumer debt levels and bad debt write-offs; general uncertainty related to geopolitical concerns; the increase of tariffs and other trade barriers; the impact of international hostilities, including the Russian invasion of Ukraine and war in the Middle East, on global markets, economies and consumer spending, on energy and shipping costs, and on the Company's supply chain and suppliers; supply disruptions, delivery delays and increased shipping costs; defaults on or downgrades of sovereign debt and the impact of any of those events on consumer spending; evolving stakeholder expectations and emerging complex laws on environmental, social and governance matters; changes in consumer preferences and popularity of particular designs, new product development and introduction; decrease in mall traffic and increase in e-commerce; the ability of the Company to successfully implement its business strategies, competitive products and pricing, including price increases to offset increased costs; the impact of “smart” watches and other wearable tech products on the traditional watch market; seasonality; availability of alternative sources of supply in the case of the loss of any significant supplier or any supplier's inability to fulfill the Company's orders; the loss of or curtailed sales to significant customers; the Company's dependence on key employees and officers; the ability to successfully integrate the operations of acquired businesses without disruption to other business activities; the possible impairment of acquired intangible assets including long-lived assets; risks associated with the Company's minority investments in early-stage growth companies and venture capital funds that invest in such companies; the continuation of the Company's major warehouse and distribution centers; the continuation of licensing arrangements with third parties; losses possible from pending or future litigation and administrative proceedings; the ability to secure and protect trademarks, patents and other intellectual property rights; the ability to lease new stores on suitable terms in desired markets and to complete construction on a timely basis; the ability of the Company to successfully manage its expenses on a continuing basis; information systems failure or breaches of network security, including cybersecurity risks posed by increasing reliance on cloud services and generative artificial intelligence; complex and quickly-evolving regulations regarding privacy and data protection; regulatory restrictions and a changing marketing environment, including the movement toward a cookieless future and increased digital advertising costs; requirements to meet environmental, social and governance regulations, expectations or standards, including climate change-related risks and regulatory requirements; the impact of current or future cost reduction, streamlining, restructuring or business optimization initiatives; risks associated with laws and regulations relating to supply chain transparency and forced labor; changes to existing laws or regulations, including changes to tax laws or regulations; the continued availability to the Company of financing and credit on favorable terms; business disruptions; and general risks associated with doing business internationally including, without limitation, import duties, tariffs (including retaliatory tariffs and the potential imposition of tariffs under alternative statutory authorities), quotas, political and economic stability, anti-corruption and anti-bribery laws, changes to existing laws or regulations, and impacts of currency exchange rate fluctuations and the success of hedging strategies related thereto.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risks and uncertainties, along with the risk factors discussed under Item 1A. “Risk Factors” in the Company’s 2026 Annual Report on Form 10-K, should be considered in evaluating any forward-looking statements contained in this report or incorporated by reference herein. All forward-looking statements speak only as of the date of this report or, in the case of any document incorporated by reference, the date of that document. All subsequent written and oral forward-looking statements attributable to the Company or any person acting on its behalf are qualified by the cautionary statements in this section. The Company undertakes no obligation to update or publicly release any revisions to forward-looking statements to reflect events, circumstances or changes in expectations after the date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Consolidated Financial Statements have been prepared in accordance with accounting principles generally accepted in the United States and those significant policies are more fully described in Note 1 to the Company’s Consolidated Financial Statements and contained in the Company's 2026 Annual Report on Form 10-K and are incorporated by reference herein. The preparation of these financial statements and the application of certain critical accounting policies require management to make judgments based on estimates and assumptions that affect the information reported. On an on-going basis, management evaluates its estimates and judgments, including those related to sales returns, markdown allowances, inventories, income taxes, useful lives of property, plant and equipment, impairments of long-lived assets and stock-based compensation. Management bases its estimates and judgments about the carrying values of assets and liabilities that are not readily apparent from other sources on historical experience, contractual commitments and on various other factors that are believed to be reasonable under the circumstances. Actual results could differ from these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Critical accounting policies are those that are most important to the portrayal of the Company’s financial condition and the results of operations and require management’s most difficult, subjective and complex judgments as a result of the need to make estimates about the effect of matters that are inherently uncertain. The Company's most critical accounting policies have been disclosed in the Company's 2026 Annual Report on Form 10-K and are incorporated by reference herein. As of July 31, 2026, there have been no material changes to any of the Company's critical accounting policies.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conducts its business in two operating segments: Watch and Accessory Brands and Company Stores. The Company’s Watch and Accessory Brands segment includes the designing, manufacturing and distribution of watches and, to a lesser extent, jewelry and other accessories, of owned and licensed brands, in addition to revenue generated from after-sales service activities and shipping. The Company Stores segment includes the Company’s retail outlet business in the United States and Canada. The Company also operates in two major geographic locations: United States and International, the latter of which includes the results of all non-U.S. Company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divides its watch and accessory business into two principal categories: the owned brands category and the licensed brands category. The owned brands category consists of the Movado®, Concord®, EBEL®, Olivia Burton® and MVMT® brands. Products in the licensed brands category include the following brands manufactured and distributed under license agreements with the respective brand owners: Coach®, Tommy Hilfiger®, Hugo Boss®, Lacoste®, Calvin Klein® and, beginning spring 2027, Kate Spade New York®.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margins vary among the brands included in the Company’s portfolio and also among watch models within each brand. Watches in the Company’s owned brands category generally earn higher gross margin percentages than watches in the licensed brands category. The difference in gross margin percentages within the licensed brands category is primarily due to the impact of royalty payments made on the licensed brands. Gross margins in the Company’s e-commerce business generally earn higher gross margin percentages than those of the traditional wholesale business. Gross margins in the Company’s outlet business are affected by the mix of product sold and may exceed those of the wholesale business since the Company earns margins on its outlet store sales from manufacture to point of sale to the consumer.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Developments and Initiatives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Tariffs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has imposed, and may in the future impose, additional tariffs and other trade restrictions on imported goods. These measures increase the Company’s product and input costs, disrupt sourcing and logistics, require pricing adjustments that may reduce demand, and adversely affect margins and operating performance. Because the United States is the Company’s single largest market, increases in duties applicable to products imported into the United States could have a disproportionate impact on the Company’s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majority of the Company’s products are sourced from Switzerland, Japan, and China. For U.S. customs purposes, the Company’s Swiss watches are classified as products of Switzerland. Watches produced in the Far East generally consist of watch heads that originate in Japan and bands that originate in China. In addition, most of the Company’s jewelry and packaging is of Chinese origin.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February 2020, the Company’s U.S. imports of Chinese-origin watch bands and jewelry have been subject to a special incremental tariff of 7.5% under Section 301 of the Trade Act of 1974, and imports of Chinese-origin packaging have been subject to a 25% Section 301 tariff.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fiscal year 2026, the United States imposed additional “reciprocal” and other tariffs under the International Emergency Economic Powers Act (“IEEPA”). These tariffs were invalidated by the Supreme Court in February 2026. The Company paid approximately $10.0 million in IEEPA tariffs between February 2025 and February 2026. During the second quarter of fiscal 2027, the Company received approximately $3.2 million of refunds of previously paid IEEPA tariffs, which was recognized as a benefit to cost of sales during the quarter. The Company continues to pursue potential recoveries of the remaining amounts following recent court rulings and U.S. Customs and Border Protection (“CBP”) guidance. The Company has elected to apply a gain contingency model in accordance with ASC 450-30, </w:t>
      </w:r>
      <w:r>
        <w:rPr>
          <w:rFonts w:ascii="Times New Roman" w:hAnsi="Times New Roman"/>
          <w:i/>
          <w:color w:val="000000"/>
          <w:sz w:val="20"/>
        </w:rPr>
        <w:t>Gain Contingencies</w:t>
      </w:r>
      <w:r>
        <w:rPr>
          <w:rFonts w:ascii="Times New Roman" w:hAnsi="Times New Roman"/>
          <w:color w:val="000000"/>
          <w:sz w:val="20"/>
        </w:rPr>
        <w:t>, to account for potential recoveries of previously paid IEEPA tariffs. Under this model, a gain contingency is not recognized in the Consolidated Financial Statements until the gain is realized or realizable, which is at the earlier of when CBP affirms the Company’s refund claim or the refund is received in cash.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Supreme Court's February 2026 decision invalidating the use of IEEPA by the Trump Administration, the Administration imposed a temporary 10% ad valorem import surcharge under Section 122 of the Trade Act of 1974, subject to certain exemptions, which remained in effect through July 24, 2026. In May 2026, the U.S. Court of International Trade ruled that the Section 122 tariffs were also invalid. The Company has not recorded a receivable related to Section 122 tariffs paid by it during the first six months of fiscal 2027 and continues to monitor ongoing litigation related to the potential recovery of these tariffs.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expiration of the Section 122 surcharge in July 2026, the Administration imposed new tariffs under Section 301 of the Trade Act of 1974 following investigations concerning the failure of certain U.S. trading partners to impose and effectively enforce prohibitions on imports produced with forced labor. Of greatest relevance to the Company, the new Section 301 measures generally impose an additional 12.5% duty on covered imports from China and, with respect to covered imports from Switzerland and Japan, impose additional duties designed to bring the combined applicable most-favored-nation duty and the new Section 301 duty to 12.5%. These measures operate in addition to certain other tariffs that remain in effect, including the pre-existing Section 301 tariffs mentioned above that are applicable to certain imports from China. As a result, the aggregate duties applicable to particular Company imports vary depending on the country of origin, tariff classification and applicability of other tariff measures or exemptions.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Administration has also initiated or continued other trade investigations that could result in additional tariffs or other changes to the duties applicable to the Company's U.S. imports. The ultimate scope, duration and impact of these and any future tariff measures remain uncertain.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Cost-Savings Initiative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its ongoing efforts to align operating expenses with current business trends, the Company implemented cost-savings initiatives in fiscal year 2025 focused primarily on workforce reductions and certain lease-related actions. In connection with these initiatives, the Company recorded total accruals of $6.1 million for severance, employee-related costs and lease termination-related charges through fiscal year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first six months of fiscal year 2027, the Company paid $0.3 million related to severance and employee-related costs, with the remaining $0.5 million balance expected to be paid during the remainder of fiscal year 2027.</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One Big Beautiful Bill Act</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4, 2025, the One Big Beautiful Bill Act (“OBBBA”) was signed into law by President Trump.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material impact on the Company's Consolidated Financial Statements for fiscal 2026 and the first six months of fiscal 2027.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 Overview</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is a discussion of the results of operations for the three and six months ended July 31, 2026 compared to the three and six months ended July 31, 2025, along with a discussion of the changes in financial condition during the first six months of fiscal 2027. The Company’s results of operations for the first six months of fiscal 2027 should not be deemed indicative of the results that the Company will experience for the full year of fiscal 2027. See “Recent Developments and Initiatives” above. See also “Risk Factors” of our Annual Report on Form 10-K for the fiscal year ended January 31, 2026 filed with the Securities and Exchange Commission on March 19,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Results of operations for the three months ended July 31, 2026 as compared to the three months ended July 31, 2025</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Comparative net sales by business segment were as follows (in thousands): </w:t>
      </w:r>
    </w:p>
    <w:p>
      <w:pPr>
        <w:pStyle w:val="TextBody"/>
        <w:bidi w:val="0"/>
        <w:jc w:val="both"/>
        <w:rPr/>
      </w:pPr>
      <w:r>
        <w:rPr/>
        <w:t> </w:t>
      </w:r>
    </w:p>
    <w:tbl>
      <w:tblPr>
        <w:tblW w:w="5769"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Watch and Accessory Brands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Company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Comparative net sales by categories were as follows (in thousands):</w:t>
      </w:r>
    </w:p>
    <w:p>
      <w:pPr>
        <w:pStyle w:val="TextBody"/>
        <w:bidi w:val="0"/>
        <w:jc w:val="both"/>
        <w:rPr/>
      </w:pPr>
      <w:r>
        <w:rPr/>
        <w:t> </w:t>
      </w:r>
    </w:p>
    <w:tbl>
      <w:tblPr>
        <w:tblW w:w="5789" w:type="dxa"/>
        <w:jc w:val="left"/>
        <w:tblInd w:w="0" w:type="dxa"/>
        <w:tblLayout w:type="fixed"/>
        <w:tblCellMar>
          <w:top w:w="28" w:type="dxa"/>
          <w:left w:w="28" w:type="dxa"/>
          <w:bottom w:w="28" w:type="dxa"/>
          <w:right w:w="28" w:type="dxa"/>
        </w:tblCellMar>
      </w:tblPr>
      <w:tblGrid>
        <w:gridCol w:w="2956"/>
        <w:gridCol w:w="146"/>
        <w:gridCol w:w="211"/>
        <w:gridCol w:w="781"/>
        <w:gridCol w:w="166"/>
        <w:gridCol w:w="146"/>
        <w:gridCol w:w="211"/>
        <w:gridCol w:w="781"/>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 brands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Licensed brands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for the three months ended July 31, 2026 were $169.8 million, representing a $7.9 million or 4.9% increase from the prior year period. For the three months ended July 31, 2026, fluctuations in foreign currency exchange rates positively impacted net sales by $0.7 million when compared to the prior year period. Excluding this $0.7 million impact, net sales would have increased by 4.4% as compared to the prior year period.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Watch and Accessory Brands Net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the three months ended July 31, 2026 in the Watch and Accessory Brands segment were $142.9 million, above the prior year period by $7.2 million, or 5.3%. The increase in net sales was primarily due to increased volumes resulting from higher demand in the Company's wholesale customers, a favorable sales mix and the positive impact of fluctuations in foreign exchange rates. The net sales in the owned brands category increased $0.3 million, or 0.7%, combined with an increase in net sales recorded in the licensed brands category of $8.3 million, or 9.0%.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United States Watch and Accessory Brands Net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the three months ended July 31, 2026 in the United States locations of the Watch and Accessory Brands segment were $47.5 million, above the prior year period by $2.7 million, or 5.9%, resulting primarily from increased volumes resulting from higher demand in the Company's wholesale customers and a favorable sales mix. The net sales recorded in the owned brands category increased $0.7 million, or 2.3%, combined with an increase in net sales recorded in the licensed brands category of $2.5 million, or 21.3%.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International Watch and Accessory Brands Net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the three months ended July 31, 2026 in the International locations of the Watch and Accessory Brands segment were $95.4 million, above the prior year by $4.5 million, or 5.0%, which included fluctuations in foreign currency exchange rates that positively impacted net sales by $0.7 million when compared to the prior year period. In addition to the positive impact of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foreign exchange rates, the increase in net sales was primarily due to increased volumes resulting from higher demand in the licensed brands category in the Company's wholesale customers. There was a net sales increase recorded in the licensed brands category of $5.7 million, or 7.1%, due to net sales increases across all regions. This increase was partially offset by a net sales decrease recorded in the owned brands category of $0.4 million, or 4.5%, primarily due to net sales decreases in Europe and the Middle East, partially offset by net sales increases in the Americas (excluding the United States) and Asia.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Company Stores Net Sales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sales for the three months ended July 31, 2026 in the Company Stores segment were $26.9 million, $0.7 million or 2.8% above the prior year period. The net sales increase was primarily due to a favorable sales mix, partially offset by a decrease in sales from the Company's online outlet store at www.movadocompanystore.com. As of July 31, 2026 and 2025, the Company operated 57 retail outlet locations.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the three months ended July 31, 2026 was $100.8 million or 59.4% of net sales as compared to $87.6 million or 54.1% of net sales in the prior year period. Gross profit for the three months ended July 31, 2026 included $3.2 million of IEEPA duty refunds received. The increase in gross profit of $13.3 million was due to higher net sales combined with a higher gross margin percentage. The increase in the gross margin percentage of approximately 530 basis points for the three months ended July 31, 2026 reflected a favorable sales mix (approximately 380 basis points), IEEPA duty refunds received (approximately 190 basis points) and the positive impact of fluctuations in foreign exchange rates (approximately 30 basis points), partially offset by higher shipping costs (approximately 50 basis points) and higher fixed costs net of increased leveraging over higher sales (approximately 20 basis points).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Selling, General and Administrative (“SG&amp;A”)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for the three months ended July 31, 2026 were $85.9 million, an increase from the prior year period of $2.4 million, or 2.9%. The increase in SG&amp;A expenses was primarily driven by (i) an increase in performance-based compensation of $1.8 million, (ii) an increase in marketing expenses of $1.1 million and (iii) a $0.3 million increase in payroll-related expenses. The increase in payroll-related expenses was net of $0.9 million of severance costs incurred in the prior year period in connection with the cost-savings initiative discussed under “Recent Developments and Initiatives”. These increases were partially offset by a $1.1 million decrease in professional fees, which included a decrease of $1.9 million in costs related to the investigation of misconduct within the Dubai branch of the Company's Swiss subsidiary. For the three months ended July 31, 2026, fluctuations in foreign currency rates related to the foreign subsidiaries increased reported SG&amp;A expenses by $1.0 million when compared to the prior year period.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Watch and Accessory Brands Operating Income/Loss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July 31, 2026 the Company recorded operating income of $10.2 million in the Watch and Accessory Brands segment, compared to an operating loss of $0.2 million in the prior period. Operating results for the three months ended July 31, 2026 included $13.9 million of unallocated corporate expenses and $14.6 million of certain intercompany profits related to the Company’s supply chain operations, compared to $10.7 million and $14.6 million, respectively, in the prior year period. The $10.4 million improvement in operating income/loss was the result of an increase in gross profit of $12.8 million (which includes $3.2 million of IEEPA duty refunds received), partially offset by higher SG&amp;A expenses of $2.4 million when compared to the prior year period. The increase in gross profit was the result of higher net sales combined with a higher gross margin percentage primarily due to a favorable impact of sales mix, IEEPA duty refunds received and the positive impact of fluctuations in foreign exchange rates, partially offset by higher shipping costs and higher fixed costs net of increased leveraging over higher sales. The increase in SG&amp;A expenses was primarily driven by (i) an increase in performance-based compensation of $1.8 million, (ii) an increase in marketing expenses of $1.4 million and (iii) an increase in payroll related expenses of $0.1 million. The increase in payroll-related expenses was net of $0.9 million of severance costs incurred in the prior year period in connection with the cost-savings initiative. These increases were partially offset by a $1.1 million decrease in professional fees (which included a decrease of $1.9 million in costs related to the investigation of misconduct within the Dubai branch).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U.S. Watch and Accessory Brands Operating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locations of the Watch and Accessory Brands segment, for the three months ended July 31, 2026, the Company recorded an operating loss of $7.7 million, compared to an operating loss of $17.0 million in the prior period. Operating results for the three months ended July 31, 2026 included unallocated corporate expenses of $13.9 million, compared to $10.7 million in the prior period. The decrease in operating loss was the result of an increase in gross profit of $9.6 million (which includes $3.2 million of IEEPA duty refunds received), partially offset by an increase in SG&amp;A expenses of $0.4 million when compared to the prior year period. The increase in gross profit of $9.6 million was the result of higher net sales, combined with a higher gross margin percentage primarily due to a favorable sales mix and IEEPA duty refunds received, partially offset by higher shipping costs and higher fixed costs net of increased leveraging over higher sales. The increase in SG&amp;A expenses was primarily due to (i) an increase in performance-based compensation of $1.5 million and (ii) higher marketing expenses of $0.3 million. These increases were offset by a $1.0 million decrease in professional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fees (which included a decrease of $1.9 million in costs related to the investigation of misconduct within the Dubai branch) and a decrease in payroll related expenses of $0.6 million (which included $0.3 million of severance costs incurred in the prior year period in connection with the cost-savings initiative).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International Watch and Accessory Brands Operating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International locations of the Watch and Accessory Brands segment, for the three months ended July 31, 2026, the Company recorded operating income of $18.0 million, compared to operating income of $16.8 million in the prior period. Operating results for the three months ended July 31, 2026 included certain intercompany profits related to the Company’s International supply chain operations of $14.6 million, compared to $14.6 million in the prior period. The increase in operating income was the result of an increase in gross profit of $3.2 million, partially offset by an increase in SG&amp;A expenses of $2.0 million. The increase in gross profit of $3.2 million was primarily the result of higher net sales, combined with a higher gross margin percentage primarily due to favorable sales mix, the positive impact of fluctuations in foreign exchange rates and the increased leveraging of certain reduced costs over higher sales, partially offset by higher shipping costs. The increase in SG&amp;A expenses was primarily due to (i) higher marketing expenses of $1.1 million, (ii) an increase in payroll related expenses of $0.7 million (the increase in payroll related expenses was net of $0.6 million of severance costs incurred in the prior year period in connection with the cost-savings initiative) and (iii) an increase in performance-based compensation of $0.3 million.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Company Stores Operating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operating income of $4.6 million and $4.2 million in the Company Stores segment for the three months ended July 31, 2026 and 2025, respectively. The increase in operating income of $0.4 million was primarily related to an increase in gross profit of $0.5 million, mainly due to higher sales combined with a higher gross margin percentage. SG&amp;A expenses remained relatively flat as compared to the prior year period with an increase in payroll related expenses offset by lower marketing expenses. As of July 31, 2026, and 2025, the Company Stores segment operated 57 retail outlet locations.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Non-Operating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other income, net of $1.3 million for the three months ended July 31, 2026, primarily due to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recorded other income, net of $1.2 million for the three months ended July 31, 2025, primarily due to interest income, partially offset by a non-cash impairment charge of $0.4 million related to one of its investments in a venture capital fund in which the Company has a limited partnership interest. The write-down was a result of a decline in the fair value of the investment primarily attributable to a deterioration in the financial condition and operating performance of certain of the underlying portfolio companies within the fund that was determined to be other than temporary.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was $0.1 million primarily due to the payment of unused commitment fees for both the three months ended July 31, 2026 and 2025. There were no borrowings under the Company's revolving credit facility during the three months ended July 31, 2026 and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an income tax provision of $3.5 million and $2.0 million for the three months ended July 31, 2026 and 2025, respectively. The effective tax rate was 22.1% and 38.5% for the three months ended July 31,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significant components of the effective tax rate for the three month period changed primarily due to an increase in the utilization of foreign tax credits related to Net Controlled Foreign Corporation Tested Income and changes in certain foreign valuation allowances, partially offset by changes in jurisdictional earnings.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Income Attributable to Movado Group,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net income attributable to Movado Group, Inc. of $12.3 million and $3.0 million for the three months ended July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 for the six months ended July 31, 2026 as compared to the six months ended July 31, 2025</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Comparative net sales by business segment were as follows (in thousands): </w:t>
      </w:r>
    </w:p>
    <w:p>
      <w:pPr>
        <w:pStyle w:val="TextBody"/>
        <w:bidi w:val="0"/>
        <w:jc w:val="both"/>
        <w:rPr/>
      </w:pPr>
      <w:r>
        <w:rPr/>
        <w:t> </w:t>
      </w:r>
    </w:p>
    <w:tbl>
      <w:tblPr>
        <w:tblW w:w="5769"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Watch and Accessory Brands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Company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Comparative net sales by categories were as follows (in thousands):</w:t>
      </w:r>
    </w:p>
    <w:p>
      <w:pPr>
        <w:pStyle w:val="TextBody"/>
        <w:bidi w:val="0"/>
        <w:spacing w:before="40" w:after="283"/>
        <w:jc w:val="both"/>
        <w:rPr/>
      </w:pPr>
      <w:r>
        <w:rPr/>
        <w:t> </w:t>
      </w:r>
    </w:p>
    <w:tbl>
      <w:tblPr>
        <w:tblW w:w="5769"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Owned brands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Licensed brands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Watch and Accessory Brands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for the six months ended July 31, 2026 were $312.2 million, representing an $18.6 million or 6.3% increase from the prior year period. For the six months ended July 31, 2026, fluctuations in foreign currency exchange rates positively impacted net sales by $5.4 million when compared to the prior year period. Excluding this $5.4 million impact, net sales would have increased by 4.5% as compared to the prior year period.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Watch and Accessory Brands Net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the six months ended July 31, 2026 in the Watch and Accessory Brands segment were $266.6 million, above the prior year period by $16.1 million, or 6.4%. The increase in net sales was primarily due to increased volumes resulting from higher demand in the Company's wholesale customers, a favorable sales mix and the positive impact of fluctuations in foreign exchange rates. The net sales in the owned brands category increased $2.8 million, or 3.7%, combined with an increase in net sales recorded in the licensed brands category of $13.5 million, or 7.8%.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United States Watch and Accessory Brands Net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the six months ended July 31, 2026 in the United States locations of the Watch and Accessory Brands segment were $89.2 million, above the prior year period by $5.8 million, or 7.0%, resulting primarily from increased volumes resulting from higher demand in the Company's wholesale customers and a favorable sales mix. The net sales recorded in the owned brands category increased $2.1 million, or 3.6%, combined with an increase in net sales recorded in the licensed brands category of $4.4 million, or 18.5%.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International Watch and Accessory Brands Net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the six months ended July 31, 2026 in the International locations of the Watch and Accessory Brands segment were $177.4 million, above the prior year by $10.3 million, or 6.1%, which included fluctuations in foreign currency exchange rates that positively impacted net sales by $5.4 million when compared to the prior year period. In addition to the positive impact of fluctuations in foreign exchange rates, the increase in net sales was primarily due to increased volumes resulting from higher demand in the licensed brands category in the Company's wholesale customers. The net sales increase recorded in the licensed brands category was $9.1 million, or 6.1%, primarily due to net sales increases in Europe, the Americas (excluding the United States) and Asia, partially offset by a net sales decrease in the Middle East. The net sales increase recorded in the owned brands category was $0.7 million, or 3.9%, primarily due to net sales increases in Asia, the Americas (excluding the United States) and the Middle East, partially offset by a net sales decrease in Europe.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Company Stores Net Sales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sales for the six months ended July 31, 2026 in the Company Stores segment were $45.6 million, $2.5 million or 5.7% above the prior year period. The net sales increase was primarily due to a favorable sales mix, an increase in sales from the Company's online outlet store at www.movadocompanystore.com and a new store opening in the second quarter of the prior year. As of July 31, 2026 and 2025, the Company operated 57 retail outlet locations.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the six months ended July 31, 2026 was $182.4 million or 58.4% of net sales as compared to $158.9 million or 54.1% of net sales in the prior year period. Gross profit for the six months ended July 31, 2026 included $3.2 million of IEEPA duty refunds received. The increase in gross profit of $23.5 million was due to higher net sales combined with a higher gross margin percentage. The increase in the gross margin percentage of approximately 430 basis points for the six months ended July 31, 2026 reflected a favorable sales mix (approximately 330 basis points), IEEPA duty refunds received (approximately 100 basis points) and the increased leveraging of certain reduced costs over higher sales (approximately 20 basis points), partially offset by higher shipping costs (approximately 20 basis points).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Selling, General and Administrative (“SG&amp;A”)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for the six months ended July 31, 2026 were $160.5 million, an increase from the prior year period of $5.9 million, or 3.8%. The increase in SG&amp;A expenses was primarily driven by (i) an increase in performance-based compensation of $2.7 million, (ii) an increase in marketing expenses of $2.5 million, (iii) higher professional fees of $0.6 million (the increase in professional fees was net of a $1.5 million decrease in costs incurred related to the investigation of misconduct within the Dubai branch) and (iv) an increase in payroll related expenses of $0.1 million. The increase in payroll-related expenses was net of $1.5 million of severance costs incurred in the prior year period in connection with the cost-savings initiative. These increases were partially offset by a $0.7 million decrease in foreign exchange losses reflecting lower transactional foreign currency losses during the period. For the six months ended July 31, 2026, fluctuations in foreign currency rates related to the foreign subsidiaries increased reported SG&amp;A expenses by $1.5 million when compared to the prior year period.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Watch and Accessory Brands Operating Income/Loss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six months ended July 31, 2026 the Company recorded operating income of $16.9 million in the Watch and Accessory Brands segment, compared to an operating loss of $0.2 million in the prior period. Operating results for the six months ended July 31, 2026 included $25.4 million of unallocated corporate expenses and $27.5 million of certain intercompany profits related to the Company’s supply chain operations, compared to $18.7 million and $28.6 million, respectively, in the prior year period. The $17.0 million change in operating income/loss was the result of an increase in gross profit of $22.2 million (which includes $3.2 million of IEEPA duty refunds received), partially offset by higher SG&amp;A expenses of $5.2 million when compared to the prior year period. The increase in gross profit was the result of higher net sales combined with a higher gross margin percentage primarily due to a favorable impact of sales mix, IEEPA duty refunds received and the increased leveraging of certain reduced costs over higher sales, partially offset by higher shipping costs. The increase in SG&amp;A expenses was primarily due to (i) an increase in performance-based compensation of $2.7 million, (ii) an increase in marketing expenses of $2.7 million and (iii) an increase in professional fees of $0.6 million. The increase in professional fees was net of a $1.5 million decrease in costs related to the investigation of misconduct within the Dubai branch. These increases were partially offset by a $0.7 million decrease in foreign exchange losses reflecting lower transactional foreign currency losses during the period and a decrease in payroll related expenses of $0.4 million (which included the impact of $1.5 million of severance costs in the prior year period in connection with the cost-savings initiative).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U.S. Watch and Accessory Brands Operating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locations of the Watch and Accessory Brands segment, for the six months ended July 31, 2026, the Company recorded an operating loss of $12.0 million, compared to an operating loss of $24.0 million in the prior period. Operating results for the six months ended July 31, 2026 included unallocated corporate expenses of $25.4 million, compared to $18.7 million in the prior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decrease in operating loss was the result of an increase in gross profit of $19.3 million (which includes $3.2 million of IEEPA duty refunds received), partially offset by an increase in SG&amp;A expenses of $7.3 million when compared to the prior year period. The increase in gross profit of $19.3 million was the result of higher net sales, combined with a higher gross margin percentage primarily due to a favorable sales mix, IEEPA duty refunds received and the increased leveraging of certain fixed costs as a result of higher sales, partially offset by higher shipping costs. The increase in SG&amp;A expenses was primarily due to (i) an increase in performance-based compensation of $2.8 million, (ii) an increase in certain unallocated corporate costs of $2.8 million, (iii) higher marketing expenses of $1.4 million and (iv) an increase in professional fees of $0.5 million. The increase in professional fees was net of a $1.5 million decrease in costs related to the investigation of misconduct within the Dubai branch). These increases were partially offset by a decrease in payroll related expenses of $1.4 million (which included the impact of $0.3 million of severance costs in the prior year period related to the cost-savings initiative).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International Watch and Accessory Brands Operating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International locations of the Watch and Accessory Brands segment, for the six months ended July 31, 2026, the Company recorded operating income of $28.8 million, compared to operating income of $23.8 million in the prior period. Operating results for the six months ended July 31, 2026 included $27.5 million of certain intercompany profits related to the Company’s International supply chain operations, compared to $28.6 million in the prior period. The increase in operating income was the result of a higher gross profit of $2.9 million combined with lower SG&amp;A expenses of $2.1 million. The increase in gross profit of $2.9 million was primarily the result of higher net sales, partially offset by a lower gross margin percentage primarily due to an unfavorable sales mix, partially offset by the increased leveraging of certain reduced costs over higher sales. The decrease in SG&amp;A expenses was primarily due to (i) a decrease in certain allocated corporate costs of $2.8 million and (ii) a decrease of $0.7 million in foreign exchange losses reflecting lower transactional foreign currency losses during the period. These decreases were partially offset by higher marketing expenses of $1.3 million and an increase in payroll related expenses of $1.0 million. The increase in payroll-related expenses was net of $1.2 million of severance costs incurred in the prior year period in connection with the cost-savings initiative.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Company Stores Operating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operating income of $5.0 million and $4.4 million in the Company Stores segment for the six months ended July 31, 2026 and 2025, respectively. The increase in operating income of $0.6 million was primarily related to an increase in gross profit of $1.3 million, mainly due to higher sales, partially offset by a lower gross margin percentage. Operating profit was negatively impacted by an increase in SG&amp;A expenses of $0.7 million primarily due to an increase in payroll related expenses and an increase in rent related expenses mainly due to a new store opening in the second quarter of the prior year. As of July 31, 2026, and 2025, the Company Stores segment operated 57 retail outlet locations.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Non-Operating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other income, net of $3.2 million for the six months ended July 31, 2026, primarily due to interest income and distributions received from a venture capital fund in which the Company holds a limited partnership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recorded other income, net of $3.0 million for the six months ended July 31, 2025, primarily due to interest income, partially offset by a non-cash impairment charge of $0.4 million related to one of its investments in a venture capital fund in which the Company has a limited partnership interest. The write-down was a result of a decline in the fair value of the investment primarily attributable to a deterioration in the financial condition and operating performance of certain of the underlying portfolio companies within the fund that was determined to be other than temporary.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was $0.2 million primarily due to the payment of unused commitment fees for both the six months ended July 31, 2026 and 2025. There were no borrowings under the Company's revolving credit facility during the six months ended July 31, 2026 and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an income tax provision of $5.5 million and $2.6 million for the six months ended July 31, 2026 and 2025, respectively. The effective tax rate was 22.0% and 37.2% for the six months ended July 31,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significant components of the effective tax rate for the six month period changed primarily due to an increase in the utilization of foreign tax credits related to Net Controlled Foreign Corporation Tested Income and excess tax benefits related to stock-based compensation in the current year as compared to deficiencies in the prior year, partially offset by changes in jurisdictional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Income Attributable to Movado Group,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net income attributable to Movado Group, Inc. of $19.2 million and $4.4 million for the six months ended July 31, 2026 and 2025, respectively.</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July 31, 2026, and July 31, 2025, the Company had $211.6 million and $180.5 million, respectively, of cash and cash equivalents. Of this total, $128.0 million and $71.9 million, respectively, consisted of cash and cash equivalents at the Company's foreign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July 31, 2026, the Company had working capital of $403.5 million as compared to $384.8 million at July 31, 2025. The increase in working capital was primarily the result of an increase in cash and a decrease in accrued liabilities, partially offset by a decrease in inventories, other current assets and an increase in income taxes payable. The Company defines working capital as the difference between current assets and current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by operating activities was $6.5 million for the six months ended July 31, 2026, compared to net cash used in operating activities of $11.0 million for the six months ended July 31, 2025, representing an increase of approximately $17.6 million. The increase was primarily driven by the $15.0 million increase in net income and, on a net basis, favorable changes in working capital.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most significant favorable changes in working capital items were: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payable, which provided $15.8 million of additional cash, primarily due to the timing of supplier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receivable/payable, net, which provided $4.1 million of additional cash, primarily due to timing of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Inventories, which used $2.2 million less cash compared to the prior year period, primarily reflecting lower inventory levels driven by disciplined inventory management;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receivables, which provided $2.0 million of additional cash compared to the prior year period, reflecting improved collections and tighter receivables management.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favorable impacts were partially offset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which resulted in $13.2 million more cash used than in the prior year period, primarily due to timing of payments;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payroll and benefits, which used $8.1 million more cash, primarily due to payments of performance-based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used in investing activities was $3.6 million for the six months ended July 31, 2026, compared to $4.8 million for the six months ended July 31, 2025. The cash used in investing activities during the current year period primarily related to capital expenditures of $2.3 million mainly for leasehold improvements and shop-in-shops, and $1.1 million of long-term investments. Cash used in investing activities for the six months ended July 31, 2025 included $2.8 million of capital expenditures and $1.9 million of long-term investments.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used in financing activities was $18.4 million for the six months ended July 31, 2026 as compared to $17.6 million for the six months ended July 31, 2025. The cash used in the current year period included $16.6 million in dividend payments, $1.5 million of open-market share repurchases, $2.4 million related to shares surrendered by employees to satisfy tax withholding obligations upon vesting of certain stock awards, offset by $2.5 million received in connection with stock options exercised and $0.3 million of debt issuance costs paid in connection with the amendment of the Company's revolving credit facility. Cash used in financing activities for the six months ended July 31, 2025 was due to $15.6 million in dividends paid, $1.6 million in stock repurchased in the open market and $0.5 million related to shares surrendered by employees to satisfy tax withholding obligations upon vesting of certain stock awards.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and its U.S. and Swiss subsidiaries (collectively, the “Borrowers”) are parties to an Amended and Restated Credit Agreement originally dated October 12, 2018 (as subsequently amended, the “Credit Agreement”) with the lenders party thereto and Bank of America, N.A. as administrative agent (in such capacity, the “Agent”). After giving effect to Amendment No. 7 thereto dated July 16, 2026, the Credit Agreement provides for a $75.0 million senior secured revolving credit facility (the “Facility”) and has a maturity date of July 16, 2031. The Facility includes a $15.0 million letter of credit subfacility, and a $25.0 million swingline subfacility, with provisions for uncommitted increases to the Facility of up to $50.0 million in the aggregate subject to customary terms and conditions. The Credit Agreement contains affirmative and negative covenants binding on the Company and its subsidiaries that are customary for credit facilities of this type, including, but not limited to, restrictions and limitations on the incurrence of debt and liens, dispositions of assets, capital expenditures, dividends and other payments in respect of equity interests, the making of loans and equity investments, mergers, consolidations, liquidations and dissolutions, and transactions with affiliates (in each case, subject to various exceptions).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borrowings under the Facility are joint and several obligations of the Borrowers and are also cross-guaranteed by each Borrower, except that the Swiss Borrower is not liable for, nor does it guarantee, the obligations of the U.S. Borrowers. In addition, the Borrowers' obligations under the Facility are secured by first priority liens, subject to permitted liens, on substantially all of the U.S. Borrowers' assets other than certain excluded assets. The Swiss Borrower does not provide collateral to secure the obligations under the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both July 31, 2026, and July 31, 2025, there were no amounts of loans outstanding under the Facility. Availability under the Facility was reduced by the aggregate amount of letters of credit outstanding, issued in connection with retail and operating facility leases to various landlords and for Canadian payroll to the Royal Bank of Canada, totaling approximately $0.3 million at both July 31, 2026 and July 31, 2025. At July 31, 2026, the letters of credit have expiration dates through June 1, 2027. As of July 31, 2026, and July 31, 2025, availability under the Facility was $74.7 million and $99.7 million, respectively. For additional information regarding the Facility, see Note 6 - Debt and Lines of Credit to the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had weighted average borrowings under the Facility of zero during both the three and six months ended July 31, 2026 and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Swiss subsidiary maintains unsecured lines of credit with a Swiss bank that are subject to repayment upon demand. As of July 31, 2026, and 2025, these lines of credit totaled 6.5 million Swiss Francs for both periods, with a dollar equivalent of $8.0 million for both periods. As of July 31, 2026, and 2025, there were no borrowings against these lines. As of July 31, 2026 and 2025, two European banks had guaranteed obligations to third parties on behalf of two of the Company’s foreign subsidiaries in the dollar equivalent of $1.5 million in various foreign currencies in both periods. Of these amounts $0.8 million in both periods represented restricted deposits related to lease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second quarter of fiscal 2027, the Company incurred and capitalized $0.4 million of fees related to the amendment. These fees, along with the unamortized fees of $0.1 million paid related to the base Credit Agreement, are being amortized on a straight-line basis over 60 months, the revised term of the Facility, and are included in other non-current assets on the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paid for interest, including unused commitment fees, was $0.1 million for both the six-month periods ended July 31, 2026 and July 31,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Company may make minority investments in growth companies in the consumer products sector and other sectors relevant to its business, including certain of the Company's suppliers and customers, as well as in venture capital funds that invest in companies in media, entertainment, information technology and technology-related fields and in digital assets. During fiscal 2022, the Company committed to invest up to $21.5 million in such investments. The Company funded approximately $17.5 million of these commitments through fiscal 2026 and an additional $1.1 million during the first six months of fiscal 2027 and may be called upon to satisfy capital calls in respect of the remaining $2.9 million in such commitments at any time during a period generally ending ten years after the first capital call in respect of a given commitment. During the three-month period ended July 31, 2025, the Company recorded a non-cash impairment charge of $0.4 million related to one of its investments in a venture capital fund in which the Company has a limited partnership interest. The write-down was a result of a decline in the fair value of the investment primarily attributable to a deterioration in the financial condition and operating performance of certain of the underlying portfolio companies within the fund that was determined to be other than temporary. The Company will continue to regularly evaluate the carrying value of its investments. These investments are carried at cost, less any related impairments, adjusted for observable price changes, if any, as fair values are not readily determinable. Other than the additional investments made during the six months ended July 31, 2026, there were no impairment charges or observable price changes related to these investments.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July 31, 2026, the Company declared and paid two separate cash dividends of $0.35 per share and $0.40 per share aggregating to $16.6 million. During the six months ended July 31, 2025, the Company declared and paid two separate cash dividends each at $0.35 per share aggregating to $15.6 million. Although the Company currently expects to continue to declare cash dividends in the future, the decision of whether to declare any future cash dividend, including the amount of any such dividend and the establishment of record and payment dates, will be determined, in each quarter, by the Board of Directors, in its sole discretion.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5, 2024, the Board approved a share repurchase program under which the Company is authorized to purchase up to $50.0 million of its outstanding common stock through December 5, 2027, depending on market conditions, share price and other factors. These repurchases may be made through open market purchases, repurchase plans, block trades or otherwise. During the six months ended July 31, 2026, the Company repurchased a total of 61,000 shares of its common stock under the December 5, 2024 share repurchase program at a total cost of $1.5 million, or an average of $25.26 per share. During the six months ended July 31, 2025, the Company repurchased a total of 100,000 shares of its common stock under the December 5, 2024 share repurchase program at a total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$1.6 million, or an average of $15.94 per share. At July 31, 2026, $44.6 million remains available for purchase under the Company's December 5, 2024 repurchase program.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does not have off-balance sheet financing or unconsolidated special-purpose entities.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Accounting Changes and Recent Accounting Pronouncements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Recent Accounting Pronouncements to the accompanying unaudited Consolidated Financial Statements for a description of recent accounting pronouncements which may impact the Company’s Consolidated Financial Statements in future reporting periods.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i/>
          <w:color w:val="000000"/>
          <w:sz w:val="20"/>
        </w:rPr>
      </w:pPr>
      <w:bookmarkStart w:id="9" w:name="item_3_quantitative_qualitative_disclosu"/>
      <w:bookmarkEnd w:id="9"/>
      <w:r>
        <w:rPr>
          <w:rFonts w:ascii="Times New Roman" w:hAnsi="Times New Roman"/>
          <w:i/>
          <w:color w:val="000000"/>
          <w:sz w:val="20"/>
        </w:rPr>
        <w:t>Item 3. Quantitative and Qualitative Disclosures About Market Risk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primary market risk exposure relates to foreign currency exchange risk (see Note 7 – Derivative Financial Instruments to the Consolidated Financial Statements). A significant portion of the Company’s purchases are denominated in Swiss Francs and, to a lesser extent, the Japanese Yen. The Company also sells to third-party customers in a variety of foreign currencies, most notably the Euro, Swiss Franc and the British Pound. The Company reduces its exposure to the Swiss Franc, Euro, British Pound, Chinese Yuan and Japanese Yen exchange rate risk through a hedging program. Under the hedging program, the Company manages most of its foreign currency exposures on a consolidated basis, which allows it to net certain exposures and take advantage of natural offsets. In the event these exposures do not offset, from time to time the Company uses various derivative financial instruments to further reduce the net exposures to currency fluctuations, predominately forward and option contracts. Certain of these contracts meet the requirements of qualified hedges. In these circumstances, the Company designates and documents these derivative instruments as a cash flow hedge of a specific underlying exposure, as well as the risk management objectives and strategies for undertaking the hedge transactions. Changes in the fair value of hedges designated and documented as a cash flow hedge and which are highly effective, are recorded in other comprehensive income until the underlying transaction affects earnings, and then are later reclassified into earnings in the same account as the hedged transaction. The earnings impact is mostly offset by the effects of currency movements on the underlying hedged transactions. To the extent that the Company does not engage in a hedging program, any change in the Swiss Franc, Euro, British Pound, Chinese Yuan and Japanese Yen exchange rates to local currency would have an equal effect on the Company’s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the Company uses forward exchange contracts, which do not meet the requirements of qualified hedges, to offset its exposure to certain foreign currency receivables and liabilities. These forward contracts are not designated as qualified hedges and, therefore, changes in the fair value of these derivatives are recognized in earnings in the period they arise, thereby offsetting the current earnings effect resulting from the revaluation of the related foreign currency receivables and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the Company’s entire net forward contracts hedging portfolio consisted of 12.0 million Swiss Francs equivalent, 30.1 million U.S. dollars equivalent, 25.3 million Euros equivalent (including 3.0 million designated as cash flow hedges) and 4.6 million British Pounds equivalent with various expiry dates ranging through December 3, 2026, compared to a portfolio of 30.0 million Swiss Francs equivalent, 28.9 million U.S. dollars equivalent, 36.0 million Euros equivalent (including 14.0 million Euros designated as cash flow hedges) and 2.7 million British Pounds equivalent with various expiry dates ranging through January 15, 2026, as of July 31, 2025. If the Company were to settle its Swiss Franc forward contracts at July 31, 2026, the result would be a $0.1 million loss. If the Company were to settle its Euro forward contracts at July 31, 2026, the result would be a $0.1 million gain. As of July 31, 2026, the Company’s British Pound, Chinese Yuan and US Dollar forward contracts had no gain or loss. </w:t>
      </w:r>
    </w:p>
    <w:p>
      <w:pPr>
        <w:pStyle w:val="TextBody"/>
        <w:bidi w:val="0"/>
        <w:spacing w:before="360" w:after="283"/>
        <w:jc w:val="both"/>
        <w:rPr>
          <w:rFonts w:ascii="Times New Roman" w:hAnsi="Times New Roman"/>
          <w:sz w:val="20"/>
        </w:rPr>
      </w:pPr>
      <w:r>
        <w:rPr>
          <w:rFonts w:ascii="Times New Roman" w:hAnsi="Times New Roman"/>
          <w:b/>
          <w:color w:val="000000"/>
          <w:sz w:val="20"/>
        </w:rPr>
        <w:t>Commodity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its exposure to fluctuations in commodity prices to be primarily related to gold used in the manufacturing of the Company’s watches. Under its hedging program, the Company can purchase various commodity derivative instruments, primarily futures contracts. When held, these derivatives are documented as qualified cash flow hedges, and the resulting gains and losses on these derivative instruments are first reflected in other comprehensive income, and later reclassified into earnings, partially offset by the effects of gold market price changes on the underlying actual gold purchases. The Company did not hold any future contracts in its gold hedge portfolio as of July 31, 2026 and 2025; thus, any changes in the gold purchase price will have an equal effect on the Company’s cost of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 and 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Floating rate debt at July 31, 2026 and 2025 was zero for both periods. During the six months ended July 31, 2026, the Company had no weighted average borrowings. The Company does not hedge these interest rate risks. </w:t>
      </w:r>
    </w:p>
    <w:p>
      <w:pPr>
        <w:pStyle w:val="TextBody"/>
        <w:bidi w:val="0"/>
        <w:spacing w:before="360" w:after="283"/>
        <w:jc w:val="both"/>
        <w:rPr>
          <w:rFonts w:ascii="Times New Roman" w:hAnsi="Times New Roman"/>
          <w:i/>
          <w:color w:val="000000"/>
          <w:sz w:val="20"/>
        </w:rPr>
      </w:pPr>
      <w:bookmarkStart w:id="10" w:name="item_4"/>
      <w:bookmarkEnd w:id="10"/>
      <w:r>
        <w:rPr>
          <w:rFonts w:ascii="Times New Roman" w:hAnsi="Times New Roman"/>
          <w:i/>
          <w:color w:val="000000"/>
          <w:sz w:val="20"/>
        </w:rPr>
        <w:t>Item 4. Controls and Procedures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disclosure controls and procedures are designed to provide reasonable assurance of achieving their objectives. However, it should be noted that a control system, no matter how well conceived or operated, can only provide reasonable, not absolute, assurance that its objectives will be met and may not prevent all errors or instances of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under the supervision and with the participation of its management, including the Chief Executive Officer and the Chief Financial Officer, has evaluated the effectiveness of the Company’s disclosure controls and procedures, as such terms are defined in Rule 13a-15(e) under the Securities Exchange Act of 1934, as amended (the “Exchange Act”). Based on that evaluation, the Chief Executive Officer and the Chief Financial Officer concluded that the Company’s disclosure controls and procedures are effective at a reasonable assurance level as of the end of the period covered by this report. </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the Company’s internal control over financial reporting (as defined in Rule 13a-15(f) under the Exchange Act) during the three months ended July 31, 2026, that have materially affected, or are reasonably likely to materially affect, the Company’s internal control over financial reporting.</w:t>
      </w:r>
    </w:p>
    <w:p>
      <w:pPr>
        <w:pStyle w:val="TextBody"/>
        <w:bidi w:val="0"/>
        <w:spacing w:before="36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rat_ii"/>
      <w:bookmarkEnd w:id="11"/>
      <w:r>
        <w:rPr>
          <w:rFonts w:ascii="Times New Roman" w:hAnsi="Times New Roman"/>
          <w:b/>
          <w:color w:val="000000"/>
          <w:sz w:val="20"/>
        </w:rPr>
        <w:t>PART II – OTHE</w:t>
      </w:r>
      <w:bookmarkStart w:id="12" w:name="part_ii_or_information"/>
      <w:bookmarkEnd w:id="12"/>
      <w:r>
        <w:rPr>
          <w:rFonts w:ascii="Times New Roman" w:hAnsi="Times New Roman"/>
          <w:b/>
          <w:color w:val="000000"/>
          <w:sz w:val="20"/>
        </w:rPr>
        <w:t>R INFORMATION</w:t>
      </w:r>
    </w:p>
    <w:p>
      <w:pPr>
        <w:pStyle w:val="TextBody"/>
        <w:bidi w:val="0"/>
        <w:spacing w:before="240" w:after="283"/>
        <w:jc w:val="both"/>
        <w:rPr>
          <w:rFonts w:ascii="Times New Roman" w:hAnsi="Times New Roman"/>
          <w:sz w:val="20"/>
        </w:rPr>
      </w:pPr>
      <w:bookmarkStart w:id="13" w:name="item_1_legal_proceedings"/>
      <w:bookmarkEnd w:id="13"/>
      <w:r>
        <w:rPr>
          <w:rFonts w:ascii="Times New Roman" w:hAnsi="Times New Roman"/>
          <w:i/>
          <w:color w:val="000000"/>
          <w:sz w:val="20"/>
        </w:rPr>
        <w:t>Item 1. Legal</w:t>
      </w:r>
      <w:r>
        <w:rPr>
          <w:rFonts w:ascii="Times New Roman" w:hAnsi="Times New Roman"/>
          <w:color w:val="000000"/>
          <w:sz w:val="20"/>
        </w:rPr>
        <w:t xml:space="preserve"> </w:t>
      </w:r>
      <w:r>
        <w:rPr>
          <w:rFonts w:ascii="Times New Roman" w:hAnsi="Times New Roman"/>
          <w:i/>
          <w:color w:val="000000"/>
          <w:sz w:val="20"/>
        </w:rPr>
        <w:t>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involved in legal proceedings and claims from time to time, in the ordinary course of its business. Legal reserves are recorded in accordance with the accounting guidance for contingencies. Contingencies are inherently unpredictable and it is possible that results of operations, balance sheets or cash flows could be materially and adversely affected in any particular period by unfavorable developments in, or resolution or disposition of, such matters. For those legal proceedings and claims for which the Company believes that it is probable that a reasonably estimable loss may result, the Company records a reserve for the potential loss. For proceedings and claims where the Company believes it is reasonably possible that a loss may result that is materially in excess of amounts accrued for the matter, the Company either discloses an estimate of such possible loss or range of loss or includes a statement that such an estimate cannot be made.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2025, the Company received a voluntary request from the Division of Enforcement of the Securities and Exchange Commission (the “SEC”) for documents and information relating to the restatement previously reported in fiscal year 2025. The Company is cooperating with the SEC in responding to those requests.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above matter, the Company is involved in other legal proceedings and contingencies, the resolution of which is not expected to materially affect its financial condition, future results of operations, or cash flows.</w:t>
      </w:r>
    </w:p>
    <w:p>
      <w:pPr>
        <w:pStyle w:val="TextBody"/>
        <w:bidi w:val="0"/>
        <w:spacing w:before="360" w:after="283"/>
        <w:jc w:val="both"/>
        <w:rPr>
          <w:rFonts w:ascii="Times New Roman" w:hAnsi="Times New Roman"/>
          <w:i/>
          <w:color w:val="000000"/>
          <w:sz w:val="20"/>
        </w:rPr>
      </w:pPr>
      <w:bookmarkStart w:id="14" w:name="item_1a_risk_factors"/>
      <w:bookmarkEnd w:id="14"/>
      <w:r>
        <w:rPr>
          <w:rFonts w:ascii="Times New Roman" w:hAnsi="Times New Roman"/>
          <w:i/>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31, 2026, there have been no material changes to any of the risk factors previously reported in the Company’s 2026 Annual Report on Form 10-K.</w:t>
      </w:r>
    </w:p>
    <w:p>
      <w:pPr>
        <w:pStyle w:val="TextBody"/>
        <w:bidi w:val="0"/>
        <w:spacing w:before="360" w:after="283"/>
        <w:jc w:val="both"/>
        <w:rPr>
          <w:rFonts w:ascii="Times New Roman" w:hAnsi="Times New Roman"/>
          <w:i/>
          <w:color w:val="000000"/>
          <w:sz w:val="20"/>
        </w:rPr>
      </w:pPr>
      <w:bookmarkStart w:id="15" w:name="item_2_unregistered_sales_equity_securit"/>
      <w:bookmarkEnd w:id="15"/>
      <w:r>
        <w:rPr>
          <w:rFonts w:ascii="Times New Roman" w:hAnsi="Times New Roman"/>
          <w:i/>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5, 2024, the Board approved a share repurchase program under which the Company is authorized to purchase up to $50.0 million of its outstanding common stock through December 5, 2027, depending on market conditions, share price and other factors. Under the share repurchase program, the Company is permitted to purchase shares of its common stock through open market purchases, repurchase plans, block trades or otherwise. During the three months ended July 31, 2026, the Company did not repurchase any shares of its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election of an employee, upon the vesting of a stock award or the exercise of a stock option, shares of common stock having an aggregate value on the vesting of the award or the exercise date of the option, as the case may be, equal to the employee’s withholding tax obligation may be surrendered to the Company by netting them from the vested shares issued. Similarly, shares having an aggregate value equal to the exercise price of an option may be tendered to the Company in payment of the option exercise price and netted from the shares of common stock issued upon the option exercise. An aggregate of 26,815 shares were repurchased during the three months ended July 31, 2026 as a result of the surrender of shares of common stock in connection with the vesting of restricted stock awards or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information about the Company’s purchases for the three months ended July 31, 2026 of equity securities that are registered by the Company pursuant to Section 12 of the Securities Exchange Act of 1934, as amended: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Issuer Repurchase of Equity Securities</w:t>
      </w:r>
    </w:p>
    <w:p>
      <w:pPr>
        <w:pStyle w:val="TextBody"/>
        <w:bidi w:val="0"/>
        <w:jc w:val="both"/>
        <w:rPr/>
      </w:pPr>
      <w:r>
        <w:rPr/>
        <w:t> </w:t>
      </w:r>
    </w:p>
    <w:tbl>
      <w:tblPr>
        <w:tblW w:w="7741" w:type="dxa"/>
        <w:jc w:val="left"/>
        <w:tblInd w:w="0" w:type="dxa"/>
        <w:tblLayout w:type="fixed"/>
        <w:tblCellMar>
          <w:top w:w="28" w:type="dxa"/>
          <w:left w:w="28" w:type="dxa"/>
          <w:bottom w:w="28" w:type="dxa"/>
          <w:right w:w="28" w:type="dxa"/>
        </w:tblCellMar>
      </w:tblPr>
      <w:tblGrid>
        <w:gridCol w:w="2491"/>
        <w:gridCol w:w="146"/>
        <w:gridCol w:w="157"/>
        <w:gridCol w:w="728"/>
        <w:gridCol w:w="146"/>
        <w:gridCol w:w="146"/>
        <w:gridCol w:w="230"/>
        <w:gridCol w:w="625"/>
        <w:gridCol w:w="146"/>
        <w:gridCol w:w="146"/>
        <w:gridCol w:w="310"/>
        <w:gridCol w:w="740"/>
        <w:gridCol w:w="146"/>
        <w:gridCol w:w="146"/>
        <w:gridCol w:w="211"/>
        <w:gridCol w:w="103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 of</w:t>
              <w:br/>
              <w:t>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w:t>
              <w:br/>
              <w:t>of Shares</w:t>
              <w:br/>
              <w:t>Purchased as</w:t>
              <w:br/>
              <w:t>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Amount</w:t>
              <w:br/>
              <w:t>that May</w:t>
              <w:br/>
              <w:t>Yet Be</w:t>
              <w:br/>
              <w:t>Purchased</w:t>
              <w:br/>
              <w:t>Under the</w:t>
              <w:br/>
              <w:t>Plans or</w:t>
              <w:br/>
              <w:t>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 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44,558,756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44,558,756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2026 –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44,558,756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44,558,756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bookmarkStart w:id="16" w:name="item_5"/>
      <w:bookmarkEnd w:id="16"/>
      <w:r>
        <w:rPr>
          <w:rFonts w:ascii="Times New Roman" w:hAnsi="Times New Roman"/>
          <w:i/>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quarterly period ended July 31, 2026, none of the Company's directors or officers informed the Company of the adoption, modification or termination of a “Rule 10b5-1 trading arrangement” or a “non-Rule 10b5-1 trading arrangement”, as those terms are defined in Item 408 of Regulation S-K.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bookmarkStart w:id="17" w:name="item_6_exhibits"/>
      <w:bookmarkEnd w:id="17"/>
      <w:r>
        <w:rPr>
          <w:rFonts w:ascii="Times New Roman" w:hAnsi="Times New Roman"/>
          <w:i/>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9518"/>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8"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Letter agreement among Movado Group, Inc., Swissam Products Limited, MGI Luxury Group Sárl and Calvin Klein, Inc. dated March 30, 2026 (incorporated by reference to Exhibit 10-1 to the Registrant's Current Report on Form 8-K filed on April 1, 2026).</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Amendment No. 7 to Credit Agreement, dated July 16, 2026, by and among the Borrowers, the Guarantor, the lenders party thereto and the Agent (incorporated by reference to Exhibit 10-1 to the Registrant's Current Report on Form 8-K filed on July 16, 2026).</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hyperlink w:anchor="mov-ex31_1.htm">
              <w:r>
                <w:rPr>
                  <w:rStyle w:val="InternetLink"/>
                  <w:rFonts w:ascii="Times New Roman" w:hAnsi="Times New Roman"/>
                  <w:color w:val="0000FF"/>
                  <w:sz w:val="20"/>
                  <w:u w:val="single"/>
                </w:rPr>
                <w:t>Certification of the Chief Executive Officer pursuant to Section 302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hyperlink w:anchor="mov-ex31_2.htm">
              <w:r>
                <w:rPr>
                  <w:rStyle w:val="InternetLink"/>
                  <w:rFonts w:ascii="Times New Roman" w:hAnsi="Times New Roman"/>
                  <w:color w:val="0000FF"/>
                  <w:sz w:val="20"/>
                  <w:u w:val="single"/>
                </w:rPr>
                <w:t>Certification of the Chief Financial Officer pursuant to Section 302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hyperlink w:anchor="mov-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hyperlink w:anchor="mov-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following financial information from Movado Group, Inc.’s Quarterly Report on Form 10-Q for the quarter ended July 31, 2026 filed with the SEC, formatted in Inline Extensible Business Reporting Language (iXBRL): (i) the Consolidated Balance Sheets; (ii) the Consolidated Statements of Operations; (iii) the Consolidated Statements of Comprehensive Income; (iv) the Consolidated Statements of Cash Flows; and (v) the Notes to the Consolidated Financial Statements. XBRL Instance Document – the XBRL Instance Document does not appear in the Interactive Data File because its XBRL tags are embedded within the Inline XBRL Document.</w:t>
            </w:r>
          </w:p>
        </w:tc>
      </w:tr>
      <w:tr>
        <w:trPr/>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signature"/>
      <w:bookmarkEnd w:id="18"/>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8020" w:type="dxa"/>
        <w:jc w:val="left"/>
        <w:tblInd w:w="0" w:type="dxa"/>
        <w:tblLayout w:type="fixed"/>
        <w:tblCellMar>
          <w:top w:w="28" w:type="dxa"/>
          <w:left w:w="28" w:type="dxa"/>
          <w:bottom w:w="28" w:type="dxa"/>
          <w:right w:w="28" w:type="dxa"/>
        </w:tblCellMar>
      </w:tblPr>
      <w:tblGrid>
        <w:gridCol w:w="2296"/>
        <w:gridCol w:w="146"/>
        <w:gridCol w:w="406"/>
        <w:gridCol w:w="146"/>
        <w:gridCol w:w="502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502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MOVADO GROUP, INC.</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Dated: 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Linda Feeney</w:t>
            </w:r>
          </w:p>
        </w:tc>
      </w:tr>
      <w:tr>
        <w:trPr/>
        <w:tc>
          <w:tcPr>
            <w:tcW w:w="2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Linda Feeney</w:t>
            </w:r>
          </w:p>
          <w:p>
            <w:pPr>
              <w:pStyle w:val="TableContents"/>
              <w:bidi w:val="0"/>
              <w:jc w:val="left"/>
              <w:rPr>
                <w:rFonts w:ascii="Times New Roman" w:hAnsi="Times New Roman"/>
                <w:color w:val="000000"/>
                <w:sz w:val="20"/>
              </w:rPr>
            </w:pPr>
            <w:r>
              <w:rPr>
                <w:rFonts w:ascii="Times New Roman" w:hAnsi="Times New Roman"/>
                <w:color w:val="000000"/>
                <w:sz w:val="20"/>
              </w:rPr>
              <w:t>Senior Vice President,</w:t>
            </w:r>
          </w:p>
          <w:p>
            <w:pPr>
              <w:pStyle w:val="TableContents"/>
              <w:bidi w:val="0"/>
              <w:jc w:val="left"/>
              <w:rPr>
                <w:rFonts w:ascii="Times New Roman" w:hAnsi="Times New Roman"/>
                <w:color w:val="000000"/>
                <w:sz w:val="20"/>
              </w:rPr>
            </w:pPr>
            <w:r>
              <w:rPr>
                <w:rFonts w:ascii="Times New Roman" w:hAnsi="Times New Roman"/>
                <w:color w:val="000000"/>
                <w:sz w:val="20"/>
              </w:rPr>
              <w:t>Principal Accounting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(duly authorized signatory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bookmarkStart w:id="19" w:name="mov-ex31_1.htm"/>
      <w:bookmarkStart w:id="20" w:name="ksmov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Efraim Grinberg,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Movado Group,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923" w:type="dxa"/>
        <w:jc w:val="left"/>
        <w:tblInd w:w="0" w:type="dxa"/>
        <w:tblLayout w:type="fixed"/>
        <w:tblCellMar>
          <w:top w:w="28" w:type="dxa"/>
          <w:left w:w="28" w:type="dxa"/>
          <w:bottom w:w="28" w:type="dxa"/>
          <w:right w:w="28" w:type="dxa"/>
        </w:tblCellMar>
      </w:tblPr>
      <w:tblGrid>
        <w:gridCol w:w="1951"/>
        <w:gridCol w:w="146"/>
        <w:gridCol w:w="382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Efraim Grinberg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Efraim Grinberg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of Directors and Chief</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mov-ex31_2.htm"/>
      <w:bookmarkStart w:id="22" w:name="ksmov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Sallie A. DeMarsilis,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Movado Group,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633" w:type="dxa"/>
        <w:jc w:val="left"/>
        <w:tblInd w:w="0" w:type="dxa"/>
        <w:tblLayout w:type="fixed"/>
        <w:tblCellMar>
          <w:top w:w="28" w:type="dxa"/>
          <w:left w:w="28" w:type="dxa"/>
          <w:bottom w:w="28" w:type="dxa"/>
          <w:right w:w="28" w:type="dxa"/>
        </w:tblCellMar>
      </w:tblPr>
      <w:tblGrid>
        <w:gridCol w:w="1951"/>
        <w:gridCol w:w="146"/>
        <w:gridCol w:w="253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Sallie A. DeMarsilis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Sallie A. DeMarsilis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ov-ex32_1.htm"/>
      <w:bookmarkStart w:id="24" w:name="ksmovex32_1"/>
      <w:bookmarkEnd w:id="23"/>
      <w:bookmarkEnd w:id="24"/>
      <w:r>
        <w:rPr/>
        <w:t> </w:t>
      </w:r>
      <w:r>
        <w:br w:type="page"/>
      </w:r>
    </w:p>
    <w:p>
      <w:pPr>
        <w:pStyle w:val="Heading1"/>
        <w:bidi w:val="0"/>
        <w:jc w:val="right"/>
        <w:rPr>
          <w:rFonts w:ascii="Times New Roman" w:hAnsi="Times New Roman"/>
          <w:color w:val="000000"/>
          <w:sz w:val="20"/>
        </w:rPr>
      </w:pPr>
      <w:r>
        <w:rPr>
          <w:rFonts w:ascii="Times New Roman" w:hAnsi="Times New Roman"/>
          <w:color w:val="000000"/>
          <w:sz w:val="20"/>
        </w:rPr>
        <w:t>EXHIBIT 32.1</w:t>
      </w:r>
    </w:p>
    <w:p>
      <w:pPr>
        <w:pStyle w:val="Heading1"/>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OF CHIEF EXECUTIVE OFFICER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Movado Group, Inc. (the “Company”) for the quarter ended July 31, 2026, as filed with the Securities and Exchange Commission on the date hereof (the “Report”) the undersigned hereby certifies, in the capacity indicated below and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 The information contained in the Report fairly presents, in all material respects, the financial condition and results of operations of the Company.</w:t>
      </w:r>
    </w:p>
    <w:tbl>
      <w:tblPr>
        <w:tblW w:w="5968" w:type="dxa"/>
        <w:jc w:val="left"/>
        <w:tblInd w:w="0" w:type="dxa"/>
        <w:tblLayout w:type="fixed"/>
        <w:tblCellMar>
          <w:top w:w="28" w:type="dxa"/>
          <w:left w:w="28" w:type="dxa"/>
          <w:bottom w:w="28" w:type="dxa"/>
          <w:right w:w="28" w:type="dxa"/>
        </w:tblCellMar>
      </w:tblPr>
      <w:tblGrid>
        <w:gridCol w:w="1951"/>
        <w:gridCol w:w="14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Efraim Grinberg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Efraim Grinberg</w:t>
            </w:r>
          </w:p>
          <w:p>
            <w:pPr>
              <w:pStyle w:val="TableContents"/>
              <w:bidi w:val="0"/>
              <w:jc w:val="left"/>
              <w:rPr>
                <w:rFonts w:ascii="Times New Roman" w:hAnsi="Times New Roman"/>
                <w:color w:val="000000"/>
                <w:sz w:val="20"/>
              </w:rPr>
            </w:pPr>
            <w:r>
              <w:rPr>
                <w:rFonts w:ascii="Times New Roman" w:hAnsi="Times New Roman"/>
                <w:color w:val="000000"/>
                <w:sz w:val="20"/>
              </w:rPr>
              <w:t xml:space="preserve">Chairman of the Board of Directors and Chief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mov-ex32_2.htm"/>
      <w:bookmarkStart w:id="26" w:name="ksmovex32_2"/>
      <w:bookmarkEnd w:id="25"/>
      <w:bookmarkEnd w:id="26"/>
      <w:r>
        <w:rPr/>
        <w:t> </w:t>
      </w:r>
      <w:r>
        <w:br w:type="page"/>
      </w:r>
    </w:p>
    <w:p>
      <w:pPr>
        <w:pStyle w:val="Heading1"/>
        <w:bidi w:val="0"/>
        <w:jc w:val="right"/>
        <w:rPr>
          <w:rFonts w:ascii="Times New Roman" w:hAnsi="Times New Roman"/>
          <w:color w:val="000000"/>
          <w:sz w:val="20"/>
        </w:rPr>
      </w:pPr>
      <w:r>
        <w:rPr>
          <w:rFonts w:ascii="Times New Roman" w:hAnsi="Times New Roman"/>
          <w:color w:val="000000"/>
          <w:sz w:val="20"/>
        </w:rPr>
        <w:t>EXHIBIT 32.2</w:t>
      </w:r>
    </w:p>
    <w:p>
      <w:pPr>
        <w:pStyle w:val="Heading1"/>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OF CHIEF FINANCIAL OFFICER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Movado Group, Inc. (the “Company”) for the quarter ended July 31, 2026 as filed with the Securities and Exchange Commission on the date hereof (the “Report”) the undersigned hereby certifies, in the capacity indicated below and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 The information contained in the Report fairly presents, in all material respects, the financial condition and results of operations of the Company.</w:t>
      </w:r>
    </w:p>
    <w:tbl>
      <w:tblPr>
        <w:tblW w:w="4633" w:type="dxa"/>
        <w:jc w:val="left"/>
        <w:tblInd w:w="0" w:type="dxa"/>
        <w:tblLayout w:type="fixed"/>
        <w:tblCellMar>
          <w:top w:w="28" w:type="dxa"/>
          <w:left w:w="28" w:type="dxa"/>
          <w:bottom w:w="28" w:type="dxa"/>
          <w:right w:w="28" w:type="dxa"/>
        </w:tblCellMar>
      </w:tblPr>
      <w:tblGrid>
        <w:gridCol w:w="1951"/>
        <w:gridCol w:w="146"/>
        <w:gridCol w:w="253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Sallie A. DeMarsilis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Sallie A. DeMarsilis</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pPr>
            <w:r>
              <w:rPr/>
              <w:t> </w:t>
            </w:r>
          </w:p>
        </w:tc>
      </w:tr>
    </w:tbl>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2573/000095014226001010/eh260757984_ex1001.htm" TargetMode="External"/><Relationship Id="rId3" Type="http://schemas.openxmlformats.org/officeDocument/2006/relationships/hyperlink" Target="https://www.sec.gov/Archives/edgar/data/72573/000095014226002107/eh260807356_ex10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22310</Words>
  <Characters>121288</Characters>
  <CharactersWithSpaces>146271</CharactersWithSpaces>
  <Paragraphs>7475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